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34" w:rsidRPr="0017636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17636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7F05A642" wp14:editId="16C820F3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0B" w:rsidRPr="0017636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176363">
        <w:rPr>
          <w:rFonts w:ascii="Verdana" w:hAnsi="Verdana" w:cs="Arial"/>
          <w:b/>
        </w:rPr>
        <w:t>ACTA</w:t>
      </w:r>
      <w:r w:rsidR="002223C5">
        <w:rPr>
          <w:rFonts w:ascii="Verdana" w:hAnsi="Verdana" w:cs="Arial"/>
          <w:b/>
        </w:rPr>
        <w:t xml:space="preserve"> </w:t>
      </w:r>
      <w:r w:rsidR="00A52386">
        <w:rPr>
          <w:rFonts w:ascii="Verdana" w:hAnsi="Verdana" w:cs="Arial"/>
          <w:b/>
        </w:rPr>
        <w:t>PRIMER</w:t>
      </w:r>
      <w:r w:rsidR="0086290C">
        <w:rPr>
          <w:rFonts w:ascii="Verdana" w:hAnsi="Verdana" w:cs="Arial"/>
          <w:b/>
        </w:rPr>
        <w:t xml:space="preserve">A </w:t>
      </w:r>
      <w:r w:rsidR="0000561B">
        <w:rPr>
          <w:rFonts w:ascii="Verdana" w:hAnsi="Verdana" w:cs="Arial"/>
          <w:b/>
        </w:rPr>
        <w:t>ASAMBLEA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ORDINARIA</w:t>
      </w:r>
      <w:r w:rsidR="002223C5">
        <w:rPr>
          <w:rFonts w:ascii="Verdana" w:hAnsi="Verdana" w:cs="Arial"/>
          <w:b/>
        </w:rPr>
        <w:t xml:space="preserve"> </w:t>
      </w:r>
      <w:r w:rsidR="00A57CA9" w:rsidRPr="00176363">
        <w:rPr>
          <w:rFonts w:ascii="Verdana" w:hAnsi="Verdana" w:cs="Arial"/>
          <w:b/>
        </w:rPr>
        <w:t>201</w:t>
      </w:r>
      <w:r w:rsidR="00A52386">
        <w:rPr>
          <w:rFonts w:ascii="Verdana" w:hAnsi="Verdana" w:cs="Arial"/>
          <w:b/>
        </w:rPr>
        <w:t>9</w:t>
      </w:r>
    </w:p>
    <w:p w:rsidR="0017636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:rsidR="007862DE" w:rsidRPr="00176363" w:rsidRDefault="0049340B" w:rsidP="00B84765">
      <w:pPr>
        <w:spacing w:after="0" w:line="240" w:lineRule="auto"/>
        <w:ind w:left="2127"/>
        <w:rPr>
          <w:rFonts w:ascii="Verdana" w:hAnsi="Verdana" w:cs="Arial"/>
        </w:rPr>
      </w:pPr>
      <w:r w:rsidRPr="00176363">
        <w:rPr>
          <w:rFonts w:ascii="Verdana" w:hAnsi="Verdana" w:cs="Arial"/>
        </w:rPr>
        <w:t>F</w:t>
      </w:r>
      <w:r w:rsidR="007862DE" w:rsidRPr="00176363">
        <w:rPr>
          <w:rFonts w:ascii="Verdana" w:hAnsi="Verdana" w:cs="Arial"/>
        </w:rPr>
        <w:t>echa:</w:t>
      </w:r>
      <w:r w:rsidR="002223C5">
        <w:rPr>
          <w:rFonts w:ascii="Verdana" w:hAnsi="Verdana" w:cs="Arial"/>
        </w:rPr>
        <w:t xml:space="preserve"> </w:t>
      </w:r>
      <w:r w:rsidR="00FB147E">
        <w:rPr>
          <w:rFonts w:ascii="Verdana" w:hAnsi="Verdana" w:cs="Arial"/>
        </w:rPr>
        <w:tab/>
      </w:r>
      <w:r w:rsidR="00FB147E">
        <w:rPr>
          <w:rFonts w:ascii="Verdana" w:hAnsi="Verdana" w:cs="Arial"/>
        </w:rPr>
        <w:tab/>
      </w:r>
      <w:r w:rsidR="00A52386">
        <w:rPr>
          <w:rFonts w:ascii="Verdana" w:hAnsi="Verdana" w:cs="Arial"/>
        </w:rPr>
        <w:t>23-26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de</w:t>
      </w:r>
      <w:r w:rsidR="002223C5">
        <w:rPr>
          <w:rFonts w:ascii="Verdana" w:hAnsi="Verdana" w:cs="Arial"/>
        </w:rPr>
        <w:t xml:space="preserve"> </w:t>
      </w:r>
      <w:r w:rsidR="00A52386">
        <w:rPr>
          <w:rFonts w:ascii="Verdana" w:hAnsi="Verdana" w:cs="Arial"/>
        </w:rPr>
        <w:t>abril</w:t>
      </w:r>
      <w:r w:rsidR="002223C5">
        <w:rPr>
          <w:rFonts w:ascii="Verdana" w:hAnsi="Verdana" w:cs="Arial"/>
        </w:rPr>
        <w:t xml:space="preserve"> </w:t>
      </w:r>
      <w:r w:rsidR="00380E98" w:rsidRPr="00176363">
        <w:rPr>
          <w:rFonts w:ascii="Verdana" w:hAnsi="Verdana" w:cs="Arial"/>
        </w:rPr>
        <w:t>201</w:t>
      </w:r>
      <w:r w:rsidR="00A52386">
        <w:rPr>
          <w:rFonts w:ascii="Verdana" w:hAnsi="Verdana" w:cs="Arial"/>
        </w:rPr>
        <w:t>9</w:t>
      </w:r>
    </w:p>
    <w:p w:rsidR="007862DE" w:rsidRPr="00176363" w:rsidRDefault="007862DE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Hora: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9E5F12" w:rsidRPr="00176363">
        <w:rPr>
          <w:rFonts w:ascii="Verdana" w:hAnsi="Verdana"/>
          <w:szCs w:val="22"/>
        </w:rPr>
        <w:t>1</w:t>
      </w:r>
      <w:r w:rsidR="00DD5438">
        <w:rPr>
          <w:rFonts w:ascii="Verdana" w:hAnsi="Verdana"/>
          <w:szCs w:val="22"/>
        </w:rPr>
        <w:t>7</w:t>
      </w:r>
      <w:r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>a</w:t>
      </w:r>
      <w:r w:rsidR="002223C5">
        <w:rPr>
          <w:rFonts w:ascii="Verdana" w:hAnsi="Verdana"/>
          <w:szCs w:val="22"/>
        </w:rPr>
        <w:t xml:space="preserve"> </w:t>
      </w:r>
      <w:r w:rsidR="00697665" w:rsidRPr="00176363">
        <w:rPr>
          <w:rFonts w:ascii="Verdana" w:hAnsi="Verdana"/>
          <w:szCs w:val="22"/>
        </w:rPr>
        <w:t>1</w:t>
      </w:r>
      <w:r w:rsidR="006C2B92">
        <w:rPr>
          <w:rFonts w:ascii="Verdana" w:hAnsi="Verdana"/>
          <w:szCs w:val="22"/>
        </w:rPr>
        <w:t>8</w:t>
      </w:r>
      <w:r w:rsidR="00380E98" w:rsidRPr="00176363">
        <w:rPr>
          <w:rFonts w:ascii="Verdana" w:hAnsi="Verdana"/>
          <w:szCs w:val="22"/>
        </w:rPr>
        <w:t>:</w:t>
      </w:r>
      <w:r w:rsidR="006C2B92">
        <w:rPr>
          <w:rFonts w:ascii="Verdana" w:hAnsi="Verdana"/>
          <w:szCs w:val="22"/>
        </w:rPr>
        <w:t>3</w:t>
      </w:r>
      <w:r w:rsidR="00640D7B" w:rsidRPr="00176363">
        <w:rPr>
          <w:rFonts w:ascii="Verdana" w:hAnsi="Verdana"/>
          <w:szCs w:val="22"/>
        </w:rPr>
        <w:t>0</w:t>
      </w:r>
    </w:p>
    <w:p w:rsidR="007862DE" w:rsidRDefault="007862DE" w:rsidP="00B84765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Lugar: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640D7B" w:rsidRPr="00176363">
        <w:rPr>
          <w:rFonts w:ascii="Verdana" w:hAnsi="Verdana"/>
          <w:szCs w:val="22"/>
        </w:rPr>
        <w:t>Estadio</w:t>
      </w:r>
      <w:r w:rsidR="002223C5">
        <w:rPr>
          <w:rFonts w:ascii="Verdana" w:hAnsi="Verdana"/>
          <w:szCs w:val="22"/>
        </w:rPr>
        <w:t xml:space="preserve"> </w:t>
      </w:r>
      <w:r w:rsidR="00640D7B" w:rsidRPr="00176363">
        <w:rPr>
          <w:rFonts w:ascii="Verdana" w:hAnsi="Verdana"/>
          <w:szCs w:val="22"/>
        </w:rPr>
        <w:t>Croata</w:t>
      </w:r>
    </w:p>
    <w:p w:rsidR="00C801F9" w:rsidRPr="00176363" w:rsidRDefault="00C801F9" w:rsidP="00A52386">
      <w:pPr>
        <w:pStyle w:val="Textosinformato"/>
        <w:ind w:left="4254" w:hanging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Preside: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="00A52386">
        <w:rPr>
          <w:rFonts w:ascii="Verdana" w:eastAsia="Times New Roman" w:hAnsi="Verdana"/>
          <w:bCs/>
          <w:szCs w:val="22"/>
        </w:rPr>
        <w:t>Felipe de Solminihac (en ausencia del Presidente)</w:t>
      </w:r>
    </w:p>
    <w:p w:rsidR="00C801F9" w:rsidRDefault="00C801F9" w:rsidP="00680F03">
      <w:pPr>
        <w:pStyle w:val="Textosinformato"/>
        <w:spacing w:after="120"/>
        <w:ind w:left="4254" w:hanging="2127"/>
        <w:rPr>
          <w:rFonts w:ascii="Verdana" w:eastAsia="Times New Roman" w:hAnsi="Verdana"/>
          <w:bCs/>
          <w:szCs w:val="22"/>
        </w:rPr>
      </w:pPr>
      <w:r w:rsidRPr="00176363">
        <w:rPr>
          <w:rFonts w:ascii="Verdana" w:hAnsi="Verdana"/>
          <w:szCs w:val="22"/>
        </w:rPr>
        <w:t>Secretaría:</w:t>
      </w:r>
      <w:r w:rsidR="002223C5">
        <w:rPr>
          <w:rFonts w:ascii="Verdana" w:hAnsi="Verdana"/>
          <w:szCs w:val="22"/>
        </w:rPr>
        <w:t xml:space="preserve"> </w:t>
      </w:r>
      <w:r w:rsidR="00680F03">
        <w:rPr>
          <w:rFonts w:ascii="Verdana" w:hAnsi="Verdana"/>
          <w:szCs w:val="22"/>
        </w:rPr>
        <w:tab/>
      </w:r>
      <w:r w:rsidR="006C2B92">
        <w:rPr>
          <w:rFonts w:ascii="Verdana" w:eastAsia="Times New Roman" w:hAnsi="Verdana"/>
          <w:bCs/>
          <w:szCs w:val="22"/>
        </w:rPr>
        <w:t>Francisco Brzovic</w:t>
      </w:r>
    </w:p>
    <w:p w:rsidR="00FB147E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FB147E" w:rsidRPr="00FB147E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FB147E">
        <w:rPr>
          <w:rFonts w:ascii="Verdana" w:hAnsi="Verdana"/>
          <w:b/>
          <w:szCs w:val="22"/>
        </w:rPr>
        <w:t>CONTENIDOS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DEL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ACTA</w:t>
      </w:r>
    </w:p>
    <w:p w:rsidR="00C37121" w:rsidRDefault="00FB147E">
      <w:pPr>
        <w:pStyle w:val="TDC1"/>
        <w:tabs>
          <w:tab w:val="right" w:leader="dot" w:pos="9111"/>
        </w:tabs>
        <w:rPr>
          <w:noProof/>
          <w:lang w:val="es-CL" w:eastAsia="es-CL"/>
        </w:rPr>
      </w:pPr>
      <w:r w:rsidRPr="00747D21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Pr="00747D21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 w:rsidRPr="00747D21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7704960" w:history="1">
        <w:r w:rsidR="00C37121" w:rsidRPr="0097373B">
          <w:rPr>
            <w:rStyle w:val="Hipervnculo"/>
            <w:noProof/>
          </w:rPr>
          <w:t>ASISTENCIA Y PARTICIPACIÓN</w:t>
        </w:r>
        <w:r w:rsidR="00C37121">
          <w:rPr>
            <w:noProof/>
            <w:webHidden/>
          </w:rPr>
          <w:tab/>
        </w:r>
        <w:r w:rsidR="00C37121">
          <w:rPr>
            <w:noProof/>
            <w:webHidden/>
          </w:rPr>
          <w:fldChar w:fldCharType="begin"/>
        </w:r>
        <w:r w:rsidR="00C37121">
          <w:rPr>
            <w:noProof/>
            <w:webHidden/>
          </w:rPr>
          <w:instrText xml:space="preserve"> PAGEREF _Toc7704960 \h </w:instrText>
        </w:r>
        <w:r w:rsidR="00C37121">
          <w:rPr>
            <w:noProof/>
            <w:webHidden/>
          </w:rPr>
        </w:r>
        <w:r w:rsidR="00C37121">
          <w:rPr>
            <w:noProof/>
            <w:webHidden/>
          </w:rPr>
          <w:fldChar w:fldCharType="separate"/>
        </w:r>
        <w:r w:rsidR="00C37121">
          <w:rPr>
            <w:noProof/>
            <w:webHidden/>
          </w:rPr>
          <w:t>2</w:t>
        </w:r>
        <w:r w:rsidR="00C37121">
          <w:rPr>
            <w:noProof/>
            <w:webHidden/>
          </w:rPr>
          <w:fldChar w:fldCharType="end"/>
        </w:r>
      </w:hyperlink>
    </w:p>
    <w:p w:rsidR="00C37121" w:rsidRDefault="00C37121">
      <w:pPr>
        <w:pStyle w:val="TDC1"/>
        <w:tabs>
          <w:tab w:val="right" w:leader="dot" w:pos="9111"/>
        </w:tabs>
        <w:rPr>
          <w:noProof/>
          <w:lang w:val="es-CL" w:eastAsia="es-CL"/>
        </w:rPr>
      </w:pPr>
      <w:hyperlink w:anchor="_Toc7704961" w:history="1">
        <w:r w:rsidRPr="0097373B">
          <w:rPr>
            <w:rStyle w:val="Hipervnculo"/>
            <w:noProof/>
          </w:rPr>
          <w:t>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7121" w:rsidRDefault="00C37121">
      <w:pPr>
        <w:pStyle w:val="TDC1"/>
        <w:tabs>
          <w:tab w:val="right" w:leader="dot" w:pos="9111"/>
        </w:tabs>
        <w:rPr>
          <w:noProof/>
          <w:lang w:val="es-CL" w:eastAsia="es-CL"/>
        </w:rPr>
      </w:pPr>
      <w:hyperlink w:anchor="_Toc7704962" w:history="1">
        <w:r w:rsidRPr="0097373B">
          <w:rPr>
            <w:rStyle w:val="Hipervnculo"/>
            <w:noProof/>
          </w:rPr>
          <w:t>DESARROLLO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7121" w:rsidRDefault="00C37121">
      <w:pPr>
        <w:pStyle w:val="TDC2"/>
        <w:tabs>
          <w:tab w:val="left" w:pos="880"/>
          <w:tab w:val="right" w:leader="dot" w:pos="9111"/>
        </w:tabs>
        <w:rPr>
          <w:noProof/>
          <w:lang w:val="es-CL" w:eastAsia="es-CL"/>
        </w:rPr>
      </w:pPr>
      <w:hyperlink w:anchor="_Toc7704963" w:history="1">
        <w:r w:rsidRPr="0097373B">
          <w:rPr>
            <w:rStyle w:val="Hipervnculo"/>
            <w:rFonts w:ascii="Verdana" w:hAnsi="Verdana"/>
            <w:noProof/>
          </w:rPr>
          <w:t>1.</w:t>
        </w:r>
        <w:r>
          <w:rPr>
            <w:noProof/>
            <w:lang w:val="es-CL" w:eastAsia="es-CL"/>
          </w:rPr>
          <w:tab/>
        </w:r>
        <w:r w:rsidRPr="0097373B">
          <w:rPr>
            <w:rStyle w:val="Hipervnculo"/>
            <w:rFonts w:ascii="Verdana" w:hAnsi="Verdana"/>
            <w:noProof/>
          </w:rPr>
          <w:t>Presentación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7121" w:rsidRDefault="00C37121">
      <w:pPr>
        <w:pStyle w:val="TDC2"/>
        <w:tabs>
          <w:tab w:val="left" w:pos="880"/>
          <w:tab w:val="right" w:leader="dot" w:pos="9111"/>
        </w:tabs>
        <w:rPr>
          <w:noProof/>
          <w:lang w:val="es-CL" w:eastAsia="es-CL"/>
        </w:rPr>
      </w:pPr>
      <w:hyperlink w:anchor="_Toc7704964" w:history="1">
        <w:r w:rsidRPr="0097373B">
          <w:rPr>
            <w:rStyle w:val="Hipervnculo"/>
            <w:rFonts w:ascii="Verdana" w:hAnsi="Verdana"/>
            <w:noProof/>
          </w:rPr>
          <w:t>2.</w:t>
        </w:r>
        <w:r>
          <w:rPr>
            <w:noProof/>
            <w:lang w:val="es-CL" w:eastAsia="es-CL"/>
          </w:rPr>
          <w:tab/>
        </w:r>
        <w:r w:rsidRPr="0097373B">
          <w:rPr>
            <w:rStyle w:val="Hipervnculo"/>
            <w:rFonts w:ascii="Verdana" w:hAnsi="Verdana"/>
            <w:noProof/>
          </w:rPr>
          <w:t>Elección parcial del Directorio y de integrantes comisiones de Ética y Revisora de Cuentas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47D21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697665" w:rsidRPr="00176363" w:rsidRDefault="00176363" w:rsidP="00316FFB">
      <w:pPr>
        <w:pStyle w:val="Ttulo1"/>
        <w:spacing w:before="120" w:after="120" w:line="240" w:lineRule="auto"/>
        <w:rPr>
          <w:sz w:val="22"/>
          <w:szCs w:val="22"/>
        </w:rPr>
      </w:pPr>
      <w:bookmarkStart w:id="0" w:name="_Toc7704960"/>
      <w:r>
        <w:t>ASISTENCIA</w:t>
      </w:r>
      <w:r w:rsidR="00A52386">
        <w:t xml:space="preserve"> Y PARTICIPACIÓN</w:t>
      </w:r>
      <w:bookmarkEnd w:id="0"/>
    </w:p>
    <w:p w:rsidR="00A52386" w:rsidRDefault="00A52386" w:rsidP="00B54AC7">
      <w:pPr>
        <w:spacing w:after="120" w:line="240" w:lineRule="auto"/>
        <w:jc w:val="both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/>
          <w:bCs/>
          <w:u w:val="single"/>
        </w:rPr>
        <w:t>Participación presencial</w:t>
      </w:r>
      <w:r w:rsidR="002223C5">
        <w:rPr>
          <w:rFonts w:ascii="Verdana" w:eastAsia="Times New Roman" w:hAnsi="Verdana"/>
          <w:bCs/>
        </w:rPr>
        <w:t xml:space="preserve">: </w:t>
      </w:r>
      <w:r w:rsidR="00B54AC7">
        <w:rPr>
          <w:rFonts w:ascii="Verdana" w:eastAsia="Times New Roman" w:hAnsi="Verdana"/>
          <w:bCs/>
        </w:rPr>
        <w:t xml:space="preserve">Edmundo Bordeu, </w:t>
      </w:r>
      <w:r>
        <w:rPr>
          <w:rFonts w:ascii="Verdana" w:eastAsia="Times New Roman" w:hAnsi="Verdana"/>
          <w:bCs/>
        </w:rPr>
        <w:t xml:space="preserve">Francisco Brzovic, </w:t>
      </w:r>
      <w:r w:rsidR="00B54AC7">
        <w:rPr>
          <w:rFonts w:ascii="Verdana" w:eastAsia="Times New Roman" w:hAnsi="Verdana"/>
          <w:bCs/>
        </w:rPr>
        <w:t xml:space="preserve">Claudio Cafati, Alberto Cubillos, </w:t>
      </w:r>
      <w:r>
        <w:rPr>
          <w:rFonts w:ascii="Verdana" w:hAnsi="Verdana"/>
        </w:rPr>
        <w:t xml:space="preserve">Felipe de Solminihac, </w:t>
      </w:r>
      <w:r w:rsidR="00B54AC7">
        <w:rPr>
          <w:rFonts w:ascii="Verdana" w:eastAsia="Times New Roman" w:hAnsi="Verdana"/>
          <w:bCs/>
        </w:rPr>
        <w:t xml:space="preserve">Marina Gambardella, Gonzalo Gil, Nícolo Gligo, Antonio Hargreaves, </w:t>
      </w:r>
      <w:r>
        <w:rPr>
          <w:rFonts w:ascii="Verdana" w:eastAsia="Times New Roman" w:hAnsi="Verdana"/>
          <w:bCs/>
        </w:rPr>
        <w:t xml:space="preserve">Juan Izquierdo, </w:t>
      </w:r>
      <w:r w:rsidR="00B54AC7" w:rsidRPr="00521F43">
        <w:rPr>
          <w:rFonts w:ascii="Verdana" w:eastAsia="Times New Roman" w:hAnsi="Verdana"/>
          <w:bCs/>
        </w:rPr>
        <w:t>Bernardo Latorre</w:t>
      </w:r>
      <w:r w:rsidR="00B54AC7">
        <w:rPr>
          <w:rFonts w:ascii="Verdana" w:eastAsia="Times New Roman" w:hAnsi="Verdana"/>
          <w:bCs/>
        </w:rPr>
        <w:t xml:space="preserve">, Gloria Montenegro, </w:t>
      </w:r>
      <w:r>
        <w:rPr>
          <w:rFonts w:ascii="Verdana" w:eastAsia="Times New Roman" w:hAnsi="Verdana"/>
          <w:bCs/>
        </w:rPr>
        <w:t>Orlando Morales</w:t>
      </w:r>
      <w:r w:rsidR="00B54AC7">
        <w:rPr>
          <w:rFonts w:ascii="Verdana" w:eastAsia="Times New Roman" w:hAnsi="Verdana"/>
          <w:bCs/>
        </w:rPr>
        <w:t xml:space="preserve">, </w:t>
      </w:r>
      <w:r>
        <w:rPr>
          <w:rFonts w:ascii="Verdana" w:eastAsia="Times New Roman" w:hAnsi="Verdana"/>
          <w:bCs/>
        </w:rPr>
        <w:t>Roberto Neira</w:t>
      </w:r>
      <w:r w:rsidR="00B54AC7">
        <w:rPr>
          <w:rFonts w:ascii="Verdana" w:eastAsia="Times New Roman" w:hAnsi="Verdana"/>
          <w:bCs/>
        </w:rPr>
        <w:t xml:space="preserve">, </w:t>
      </w:r>
      <w:r>
        <w:rPr>
          <w:rFonts w:ascii="Verdana" w:eastAsia="Times New Roman" w:hAnsi="Verdana"/>
          <w:bCs/>
        </w:rPr>
        <w:t>Andrés Schwember</w:t>
      </w:r>
      <w:r w:rsidR="00B54AC7">
        <w:rPr>
          <w:rFonts w:ascii="Verdana" w:eastAsia="Times New Roman" w:hAnsi="Verdana"/>
          <w:bCs/>
        </w:rPr>
        <w:t xml:space="preserve"> y A</w:t>
      </w:r>
      <w:r w:rsidR="00B54AC7" w:rsidRPr="00521F43">
        <w:rPr>
          <w:rFonts w:ascii="Verdana" w:eastAsia="Times New Roman" w:hAnsi="Verdana"/>
          <w:bCs/>
        </w:rPr>
        <w:t>lejandro Violic</w:t>
      </w:r>
      <w:r w:rsidR="00B54AC7">
        <w:rPr>
          <w:rFonts w:ascii="Verdana" w:eastAsia="Times New Roman" w:hAnsi="Verdana"/>
          <w:bCs/>
        </w:rPr>
        <w:t>.</w:t>
      </w:r>
    </w:p>
    <w:p w:rsidR="00022463" w:rsidRPr="00022463" w:rsidRDefault="00A52386" w:rsidP="00A52386">
      <w:pPr>
        <w:spacing w:after="0" w:line="240" w:lineRule="auto"/>
        <w:jc w:val="both"/>
        <w:rPr>
          <w:rFonts w:ascii="Verdana" w:eastAsia="Times New Roman" w:hAnsi="Verdana"/>
          <w:bCs/>
        </w:rPr>
      </w:pPr>
      <w:r w:rsidRPr="00A52386">
        <w:rPr>
          <w:rFonts w:ascii="Verdana" w:eastAsia="Times New Roman" w:hAnsi="Verdana"/>
          <w:b/>
          <w:bCs/>
          <w:u w:val="single"/>
        </w:rPr>
        <w:t xml:space="preserve">Participación </w:t>
      </w:r>
      <w:r w:rsidR="00C37121" w:rsidRPr="00A52386">
        <w:rPr>
          <w:rFonts w:ascii="Verdana" w:eastAsia="Times New Roman" w:hAnsi="Verdana"/>
          <w:b/>
          <w:bCs/>
          <w:u w:val="single"/>
        </w:rPr>
        <w:t>electrónica</w:t>
      </w:r>
      <w:r>
        <w:rPr>
          <w:rFonts w:ascii="Verdana" w:eastAsia="Times New Roman" w:hAnsi="Verdana"/>
          <w:bCs/>
        </w:rPr>
        <w:t xml:space="preserve">: </w:t>
      </w:r>
      <w:r w:rsidR="00B54AC7">
        <w:rPr>
          <w:rFonts w:ascii="Verdana" w:eastAsia="Times New Roman" w:hAnsi="Verdana"/>
          <w:bCs/>
        </w:rPr>
        <w:t xml:space="preserve">Edmundo Acevedo, Patricio Arce, Fernando Bas, Peter Caligari, Rolando Chateauneuf, Nilo Covacevich, Alejandro Del Pozo, Eugenio Doussoulin, Julio Kalazich, </w:t>
      </w:r>
      <w:r w:rsidR="00960901">
        <w:rPr>
          <w:rFonts w:ascii="Verdana" w:eastAsia="Times New Roman" w:hAnsi="Verdana"/>
          <w:bCs/>
        </w:rPr>
        <w:t xml:space="preserve">Levi Mansur, Carlos Muñoz, Rafael Novoa, Alfredo Olivares, Philippo Pszczolkowski, Marlene Rosales, </w:t>
      </w:r>
      <w:r w:rsidR="00D64907">
        <w:rPr>
          <w:rFonts w:ascii="Verdana" w:eastAsia="Times New Roman" w:hAnsi="Verdana"/>
          <w:bCs/>
        </w:rPr>
        <w:t xml:space="preserve">Paola Silva, </w:t>
      </w:r>
      <w:r w:rsidR="00960901">
        <w:rPr>
          <w:rFonts w:ascii="Verdana" w:eastAsia="Times New Roman" w:hAnsi="Verdana"/>
          <w:bCs/>
        </w:rPr>
        <w:t>Pedro Undurraga, José Yuri y Claudio Wernli.</w:t>
      </w:r>
    </w:p>
    <w:p w:rsidR="007862DE" w:rsidRPr="00176363" w:rsidRDefault="008C1A54" w:rsidP="00265CEE">
      <w:pPr>
        <w:pStyle w:val="Ttulo1"/>
        <w:spacing w:before="240" w:after="120" w:line="240" w:lineRule="auto"/>
      </w:pPr>
      <w:bookmarkStart w:id="1" w:name="_Toc7704961"/>
      <w:r w:rsidRPr="00176363">
        <w:lastRenderedPageBreak/>
        <w:t>TABLA</w:t>
      </w:r>
      <w:bookmarkEnd w:id="1"/>
    </w:p>
    <w:p w:rsidR="00233DB2" w:rsidRPr="00233DB2" w:rsidRDefault="00233DB2" w:rsidP="00233DB2">
      <w:pPr>
        <w:pStyle w:val="Prrafodelista"/>
        <w:numPr>
          <w:ilvl w:val="0"/>
          <w:numId w:val="36"/>
        </w:numPr>
        <w:shd w:val="clear" w:color="auto" w:fill="FFFFFF"/>
        <w:ind w:left="357" w:hanging="357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Presentación.</w:t>
      </w:r>
    </w:p>
    <w:p w:rsidR="0062253F" w:rsidRPr="00233DB2" w:rsidRDefault="00233DB2" w:rsidP="00233DB2">
      <w:pPr>
        <w:pStyle w:val="Prrafodelista"/>
        <w:numPr>
          <w:ilvl w:val="0"/>
          <w:numId w:val="36"/>
        </w:numPr>
        <w:shd w:val="clear" w:color="auto" w:fill="FFFFFF"/>
        <w:ind w:left="357" w:hanging="357"/>
        <w:rPr>
          <w:rFonts w:ascii="Verdana" w:eastAsia="Times New Roman" w:hAnsi="Verdana" w:cs="Times New Roman"/>
          <w:color w:val="000000"/>
        </w:rPr>
      </w:pPr>
      <w:r w:rsidRPr="00233DB2">
        <w:rPr>
          <w:rFonts w:ascii="Verdana" w:eastAsia="Times New Roman" w:hAnsi="Verdana" w:cs="Times New Roman"/>
          <w:color w:val="000000"/>
        </w:rPr>
        <w:t>Elección parcial del Directorio y de integrantes comisiones de Ética y Revisora de Cuentas.</w:t>
      </w:r>
    </w:p>
    <w:p w:rsidR="007862DE" w:rsidRPr="00176363" w:rsidRDefault="00F11A56" w:rsidP="00265CEE">
      <w:pPr>
        <w:pStyle w:val="Ttulo1"/>
        <w:spacing w:before="240" w:after="120" w:line="240" w:lineRule="auto"/>
      </w:pPr>
      <w:bookmarkStart w:id="2" w:name="_Toc7704962"/>
      <w:r w:rsidRPr="00176363">
        <w:t>DESARROLLO</w:t>
      </w:r>
      <w:bookmarkEnd w:id="2"/>
    </w:p>
    <w:p w:rsidR="00D937A5" w:rsidRPr="00043E66" w:rsidRDefault="00233DB2" w:rsidP="00233DB2">
      <w:pPr>
        <w:pStyle w:val="Ttulo2"/>
        <w:numPr>
          <w:ilvl w:val="0"/>
          <w:numId w:val="25"/>
        </w:numPr>
        <w:spacing w:before="120" w:line="240" w:lineRule="auto"/>
        <w:ind w:left="357" w:hanging="357"/>
        <w:rPr>
          <w:rFonts w:ascii="Verdana" w:hAnsi="Verdana"/>
          <w:sz w:val="22"/>
        </w:rPr>
      </w:pPr>
      <w:bookmarkStart w:id="3" w:name="_Toc7704963"/>
      <w:r w:rsidRPr="00043E66">
        <w:rPr>
          <w:rFonts w:ascii="Verdana" w:hAnsi="Verdana"/>
        </w:rPr>
        <w:t>Presentación</w:t>
      </w:r>
      <w:bookmarkEnd w:id="3"/>
    </w:p>
    <w:p w:rsidR="00BA7ECC" w:rsidRDefault="00BA7ECC" w:rsidP="00233DB2">
      <w:pPr>
        <w:shd w:val="clear" w:color="auto" w:fill="FFFFFF"/>
        <w:spacing w:after="120"/>
        <w:rPr>
          <w:rFonts w:ascii="Verdana" w:hAnsi="Verdana"/>
        </w:rPr>
      </w:pPr>
      <w:r>
        <w:rPr>
          <w:rFonts w:ascii="Verdana" w:hAnsi="Verdana"/>
        </w:rPr>
        <w:t>E</w:t>
      </w:r>
      <w:r w:rsidR="00233DB2">
        <w:rPr>
          <w:rFonts w:ascii="Verdana" w:hAnsi="Verdana"/>
        </w:rPr>
        <w:t>n primera citación, no hubo el quórum de académicos/as para realizar</w:t>
      </w:r>
      <w:r>
        <w:rPr>
          <w:rFonts w:ascii="Verdana" w:hAnsi="Verdana"/>
        </w:rPr>
        <w:t xml:space="preserve"> esta primera Asamblea de 2019. Estuvieron presentes 16 asociados con derecho a voto (los listados más arriba como presentes) siendo 22 el </w:t>
      </w:r>
      <w:r w:rsidR="00233DB2">
        <w:rPr>
          <w:rFonts w:ascii="Verdana" w:hAnsi="Verdana"/>
        </w:rPr>
        <w:t>quórum</w:t>
      </w:r>
      <w:r>
        <w:rPr>
          <w:rFonts w:ascii="Verdana" w:hAnsi="Verdana"/>
        </w:rPr>
        <w:t xml:space="preserve"> requerido (</w:t>
      </w:r>
      <w:r w:rsidR="00233DB2">
        <w:rPr>
          <w:rFonts w:ascii="Verdana" w:hAnsi="Verdana"/>
        </w:rPr>
        <w:t>la mitad más uno de los/las académicos/as con derecho a voto</w:t>
      </w:r>
      <w:r>
        <w:rPr>
          <w:rFonts w:ascii="Verdana" w:hAnsi="Verdana"/>
        </w:rPr>
        <w:t xml:space="preserve"> que, a la fecha, era de 44).</w:t>
      </w:r>
      <w:r w:rsidR="00233DB2">
        <w:rPr>
          <w:rFonts w:ascii="Verdana" w:hAnsi="Verdana"/>
        </w:rPr>
        <w:t xml:space="preserve"> </w:t>
      </w:r>
    </w:p>
    <w:p w:rsidR="00233DB2" w:rsidRDefault="00BA7ECC" w:rsidP="00233DB2">
      <w:pPr>
        <w:shd w:val="clear" w:color="auto" w:fill="FFFFFF"/>
        <w:spacing w:after="120"/>
        <w:rPr>
          <w:rFonts w:ascii="Verdana" w:hAnsi="Verdana"/>
        </w:rPr>
      </w:pPr>
      <w:r>
        <w:rPr>
          <w:rFonts w:ascii="Verdana" w:hAnsi="Verdana"/>
        </w:rPr>
        <w:t>L</w:t>
      </w:r>
      <w:r w:rsidR="00233DB2" w:rsidRPr="00233DB2">
        <w:rPr>
          <w:rFonts w:ascii="Verdana" w:hAnsi="Verdana"/>
        </w:rPr>
        <w:t>os directores presentes en la reunión, dada la importancia de</w:t>
      </w:r>
      <w:r>
        <w:rPr>
          <w:rFonts w:ascii="Verdana" w:hAnsi="Verdana"/>
        </w:rPr>
        <w:t xml:space="preserve">l proceso electoral que debía realizarse para la renovación parcial del Directorio y la designación de integrantes de las comisiones de Ética y Revisora de Cuentas, decidieron </w:t>
      </w:r>
      <w:proofErr w:type="spellStart"/>
      <w:r>
        <w:rPr>
          <w:rFonts w:ascii="Verdana" w:hAnsi="Verdana"/>
        </w:rPr>
        <w:t>autoconvocarse</w:t>
      </w:r>
      <w:proofErr w:type="spellEnd"/>
      <w:r>
        <w:rPr>
          <w:rFonts w:ascii="Verdana" w:hAnsi="Verdana"/>
        </w:rPr>
        <w:t xml:space="preserve"> y realizar </w:t>
      </w:r>
      <w:r>
        <w:rPr>
          <w:rFonts w:ascii="Verdana" w:hAnsi="Verdana"/>
        </w:rPr>
        <w:t xml:space="preserve">la tercera reunión de Directorio del 2019, </w:t>
      </w:r>
      <w:r w:rsidR="00C37121">
        <w:rPr>
          <w:rFonts w:ascii="Verdana" w:hAnsi="Verdana"/>
        </w:rPr>
        <w:t xml:space="preserve">lo que ocurre </w:t>
      </w:r>
      <w:r>
        <w:rPr>
          <w:rFonts w:ascii="Verdana" w:hAnsi="Verdana"/>
        </w:rPr>
        <w:t>inmediatamente antes de la presente Asamblea</w:t>
      </w:r>
      <w:r>
        <w:rPr>
          <w:rFonts w:ascii="Verdana" w:hAnsi="Verdana"/>
        </w:rPr>
        <w:t xml:space="preserve"> (véase el acta correspondiente)</w:t>
      </w:r>
      <w:r w:rsidR="00233DB2" w:rsidRPr="00233DB2">
        <w:rPr>
          <w:rFonts w:ascii="Verdana" w:hAnsi="Verdana"/>
        </w:rPr>
        <w:t xml:space="preserve">. </w:t>
      </w:r>
    </w:p>
    <w:p w:rsidR="00BA7ECC" w:rsidRDefault="00BA7ECC" w:rsidP="00BA7ECC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El Directorio, con el propósito de conseguir </w:t>
      </w:r>
      <w:r w:rsidR="0090465F">
        <w:rPr>
          <w:rFonts w:ascii="Verdana" w:hAnsi="Verdana"/>
        </w:rPr>
        <w:t>una</w:t>
      </w:r>
      <w:r>
        <w:rPr>
          <w:rFonts w:ascii="Verdana" w:hAnsi="Verdana"/>
        </w:rPr>
        <w:t xml:space="preserve"> participación </w:t>
      </w:r>
      <w:r w:rsidR="0090465F">
        <w:rPr>
          <w:rFonts w:ascii="Verdana" w:hAnsi="Verdana"/>
        </w:rPr>
        <w:t>satisfactoria</w:t>
      </w:r>
      <w:r>
        <w:rPr>
          <w:rFonts w:ascii="Verdana" w:hAnsi="Verdana"/>
        </w:rPr>
        <w:t xml:space="preserve"> </w:t>
      </w:r>
      <w:r w:rsidR="0090465F">
        <w:rPr>
          <w:rFonts w:ascii="Verdana" w:hAnsi="Verdana"/>
        </w:rPr>
        <w:t>de académicas/os en el proceso electoral</w:t>
      </w:r>
      <w:r w:rsidR="00C37121">
        <w:rPr>
          <w:rFonts w:ascii="Verdana" w:hAnsi="Verdana"/>
        </w:rPr>
        <w:t>,</w:t>
      </w:r>
      <w:r w:rsidR="0090465F">
        <w:rPr>
          <w:rFonts w:ascii="Verdana" w:hAnsi="Verdana"/>
        </w:rPr>
        <w:t xml:space="preserve"> </w:t>
      </w:r>
      <w:r>
        <w:rPr>
          <w:rFonts w:ascii="Verdana" w:hAnsi="Verdana"/>
        </w:rPr>
        <w:t>de modo</w:t>
      </w:r>
      <w:r w:rsidR="0090465F">
        <w:rPr>
          <w:rFonts w:ascii="Verdana" w:hAnsi="Verdana"/>
        </w:rPr>
        <w:t xml:space="preserve"> asegurar la mayor representatividad posible de las autoridades de la Academia</w:t>
      </w:r>
      <w:r w:rsidR="00C37121">
        <w:rPr>
          <w:rFonts w:ascii="Verdana" w:hAnsi="Verdana"/>
        </w:rPr>
        <w:t>,</w:t>
      </w:r>
      <w:r w:rsidR="0090465F">
        <w:rPr>
          <w:rFonts w:ascii="Verdana" w:hAnsi="Verdana"/>
        </w:rPr>
        <w:t xml:space="preserve"> y de constatar que no habría impedimentos estatutarios para ello – sin oposición alguna de integrantes del Directorio ni de las/los académicas/os presentes en calidad de colaboradores y observadores – </w:t>
      </w:r>
      <w:r w:rsidR="0090465F">
        <w:rPr>
          <w:rFonts w:ascii="Verdana" w:hAnsi="Verdana"/>
        </w:rPr>
        <w:t xml:space="preserve">adopta </w:t>
      </w:r>
      <w:r>
        <w:rPr>
          <w:rFonts w:ascii="Verdana" w:hAnsi="Verdana"/>
        </w:rPr>
        <w:t>l</w:t>
      </w:r>
      <w:r w:rsidR="0090465F">
        <w:rPr>
          <w:rFonts w:ascii="Verdana" w:hAnsi="Verdana"/>
        </w:rPr>
        <w:t>a propuesta del</w:t>
      </w:r>
      <w:r>
        <w:rPr>
          <w:rFonts w:ascii="Verdana" w:hAnsi="Verdana"/>
        </w:rPr>
        <w:t xml:space="preserve"> académico Juan Izquierdo </w:t>
      </w:r>
      <w:r w:rsidR="0090465F">
        <w:rPr>
          <w:rFonts w:ascii="Verdana" w:hAnsi="Verdana"/>
        </w:rPr>
        <w:t>de realizar</w:t>
      </w:r>
      <w:r>
        <w:rPr>
          <w:rFonts w:ascii="Verdana" w:hAnsi="Verdana"/>
        </w:rPr>
        <w:t xml:space="preserve"> una asamblea extendida, más bien, de un proceso electoral e</w:t>
      </w:r>
      <w:r w:rsidR="0090465F">
        <w:rPr>
          <w:rFonts w:ascii="Verdana" w:hAnsi="Verdana"/>
        </w:rPr>
        <w:t xml:space="preserve">xtendido, que facilite una </w:t>
      </w:r>
      <w:r>
        <w:rPr>
          <w:rFonts w:ascii="Verdana" w:hAnsi="Verdana"/>
        </w:rPr>
        <w:t>participación</w:t>
      </w:r>
      <w:r w:rsidR="0090465F">
        <w:rPr>
          <w:rFonts w:ascii="Verdana" w:hAnsi="Verdana"/>
        </w:rPr>
        <w:t xml:space="preserve"> mayoritaria</w:t>
      </w:r>
      <w:r>
        <w:rPr>
          <w:rFonts w:ascii="Verdana" w:hAnsi="Verdana"/>
        </w:rPr>
        <w:t xml:space="preserve"> en el proceso del voto.</w:t>
      </w:r>
    </w:p>
    <w:p w:rsidR="00BA7ECC" w:rsidRDefault="0090465F" w:rsidP="00BA7ECC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De este modo, e</w:t>
      </w:r>
      <w:r w:rsidR="00BA7ECC">
        <w:rPr>
          <w:rFonts w:ascii="Verdana" w:hAnsi="Verdana"/>
        </w:rPr>
        <w:t xml:space="preserve">l Vicepresidente De Solminihac </w:t>
      </w:r>
      <w:r>
        <w:rPr>
          <w:rFonts w:ascii="Verdana" w:hAnsi="Verdana"/>
        </w:rPr>
        <w:t>abre el proceso electoral y establece</w:t>
      </w:r>
      <w:r w:rsidR="00BA7ECC">
        <w:rPr>
          <w:rFonts w:ascii="Verdana" w:hAnsi="Verdana"/>
        </w:rPr>
        <w:t xml:space="preserve"> que</w:t>
      </w:r>
      <w:r w:rsidR="00C37121">
        <w:rPr>
          <w:rFonts w:ascii="Verdana" w:hAnsi="Verdana"/>
        </w:rPr>
        <w:t xml:space="preserve"> este</w:t>
      </w:r>
      <w:r w:rsidR="00BA7ECC">
        <w:rPr>
          <w:rFonts w:ascii="Verdana" w:hAnsi="Verdana"/>
        </w:rPr>
        <w:t xml:space="preserve"> se extenderá hasta las 18 horas del jueves 26</w:t>
      </w:r>
      <w:r w:rsidR="00043E66">
        <w:rPr>
          <w:rFonts w:ascii="Verdana" w:hAnsi="Verdana"/>
        </w:rPr>
        <w:t>, como efectivamente se hizo.</w:t>
      </w:r>
    </w:p>
    <w:p w:rsidR="00DC336A" w:rsidRPr="00043E66" w:rsidRDefault="00043E66" w:rsidP="00043E66">
      <w:pPr>
        <w:pStyle w:val="Ttulo2"/>
        <w:numPr>
          <w:ilvl w:val="0"/>
          <w:numId w:val="25"/>
        </w:numPr>
        <w:spacing w:line="240" w:lineRule="auto"/>
        <w:ind w:left="357" w:hanging="357"/>
        <w:rPr>
          <w:rFonts w:ascii="Verdana" w:hAnsi="Verdana"/>
        </w:rPr>
      </w:pPr>
      <w:bookmarkStart w:id="4" w:name="_Toc7704964"/>
      <w:r w:rsidRPr="00043E66">
        <w:rPr>
          <w:rFonts w:ascii="Verdana" w:hAnsi="Verdana"/>
        </w:rPr>
        <w:t>Elección parcial del Directorio y de integrantes comisiones de Ética y Revisora de Cuentas</w:t>
      </w:r>
      <w:bookmarkEnd w:id="4"/>
    </w:p>
    <w:p w:rsidR="00043E66" w:rsidRPr="00043E66" w:rsidRDefault="00043E66" w:rsidP="00043E66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</w:rPr>
        <w:t xml:space="preserve">En el período señalado se realiza la elección en referencia con los siguientes resultados informados por </w:t>
      </w:r>
      <w:r w:rsidRPr="00043E66">
        <w:rPr>
          <w:rFonts w:ascii="Verdana" w:eastAsia="Times New Roman" w:hAnsi="Verdana" w:cs="Times New Roman"/>
          <w:color w:val="000000"/>
        </w:rPr>
        <w:t xml:space="preserve">la Comisión Ad hoc de Elecciones, </w:t>
      </w:r>
      <w:r>
        <w:rPr>
          <w:rFonts w:ascii="Verdana" w:eastAsia="Times New Roman" w:hAnsi="Verdana" w:cs="Times New Roman"/>
          <w:color w:val="000000"/>
        </w:rPr>
        <w:t>integrada por la académica Gloria Montenegro y el académico Alejandro Violic:</w:t>
      </w:r>
    </w:p>
    <w:p w:rsidR="00043E66" w:rsidRPr="00043E66" w:rsidRDefault="00043E66" w:rsidP="00043E6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  <w:r w:rsidRPr="00043E66">
        <w:rPr>
          <w:rFonts w:ascii="Verdana" w:eastAsia="Times New Roman" w:hAnsi="Verdana" w:cs="Times New Roman"/>
          <w:color w:val="000000"/>
        </w:rPr>
        <w:t xml:space="preserve">De las/los 44 académicas/os </w:t>
      </w:r>
      <w:r>
        <w:rPr>
          <w:rFonts w:ascii="Verdana" w:eastAsia="Times New Roman" w:hAnsi="Verdana" w:cs="Times New Roman"/>
          <w:color w:val="000000"/>
        </w:rPr>
        <w:t>con derecho a votar,</w:t>
      </w:r>
      <w:r w:rsidRPr="00043E66">
        <w:rPr>
          <w:rFonts w:ascii="Verdana" w:eastAsia="Times New Roman" w:hAnsi="Verdana" w:cs="Times New Roman"/>
          <w:color w:val="000000"/>
        </w:rPr>
        <w:t xml:space="preserve"> 35 académicas/os</w:t>
      </w:r>
      <w:r>
        <w:rPr>
          <w:rFonts w:ascii="Verdana" w:eastAsia="Times New Roman" w:hAnsi="Verdana" w:cs="Times New Roman"/>
          <w:color w:val="000000"/>
        </w:rPr>
        <w:t xml:space="preserve"> ejercieron su derecho</w:t>
      </w:r>
      <w:r w:rsidRPr="00043E66">
        <w:rPr>
          <w:rFonts w:ascii="Verdana" w:eastAsia="Times New Roman" w:hAnsi="Verdana" w:cs="Times New Roman"/>
          <w:color w:val="000000"/>
        </w:rPr>
        <w:t xml:space="preserve"> – 16 lo hicieron presencialmente y 19 electrónicamente</w:t>
      </w:r>
      <w:r>
        <w:rPr>
          <w:rFonts w:ascii="Verdana" w:eastAsia="Times New Roman" w:hAnsi="Verdana" w:cs="Times New Roman"/>
          <w:color w:val="000000"/>
        </w:rPr>
        <w:t xml:space="preserve"> (ver listas </w:t>
      </w:r>
      <w:r w:rsidR="00C37121">
        <w:rPr>
          <w:rFonts w:ascii="Verdana" w:eastAsia="Times New Roman" w:hAnsi="Verdana" w:cs="Times New Roman"/>
          <w:color w:val="000000"/>
        </w:rPr>
        <w:t xml:space="preserve">de asistencia </w:t>
      </w:r>
      <w:r>
        <w:rPr>
          <w:rFonts w:ascii="Verdana" w:eastAsia="Times New Roman" w:hAnsi="Verdana" w:cs="Times New Roman"/>
          <w:color w:val="000000"/>
        </w:rPr>
        <w:t>al comienzo de la presenta acta)</w:t>
      </w:r>
      <w:r w:rsidRPr="00043E66">
        <w:rPr>
          <w:rFonts w:ascii="Verdana" w:eastAsia="Times New Roman" w:hAnsi="Verdana" w:cs="Times New Roman"/>
          <w:color w:val="000000"/>
        </w:rPr>
        <w:t xml:space="preserve">. Sólo hubo un voto nulo que correspondió a una papeleta con doce preferencias siendo ocho el número </w:t>
      </w:r>
      <w:r>
        <w:rPr>
          <w:rFonts w:ascii="Verdana" w:eastAsia="Times New Roman" w:hAnsi="Verdana" w:cs="Times New Roman"/>
          <w:color w:val="000000"/>
        </w:rPr>
        <w:t>máximo</w:t>
      </w:r>
      <w:r w:rsidR="00C37121">
        <w:rPr>
          <w:rFonts w:ascii="Verdana" w:eastAsia="Times New Roman" w:hAnsi="Verdana" w:cs="Times New Roman"/>
          <w:color w:val="000000"/>
        </w:rPr>
        <w:t xml:space="preserve"> permitido</w:t>
      </w:r>
      <w:r w:rsidRPr="00043E66">
        <w:rPr>
          <w:rFonts w:ascii="Verdana" w:eastAsia="Times New Roman" w:hAnsi="Verdana" w:cs="Times New Roman"/>
          <w:color w:val="000000"/>
        </w:rPr>
        <w:t>. En total se marcaron 249 preferencias válidas que se distribuyeron entre las/los 32 académicas/os elegibles.</w:t>
      </w:r>
    </w:p>
    <w:p w:rsidR="00043E66" w:rsidRDefault="00043E66" w:rsidP="00043E6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  <w:r w:rsidRPr="00043E66">
        <w:rPr>
          <w:rFonts w:ascii="Verdana" w:eastAsia="Times New Roman" w:hAnsi="Verdana" w:cs="Times New Roman"/>
          <w:color w:val="000000"/>
        </w:rPr>
        <w:t>Los resultados del proceso electoral fueron los siguientes:</w:t>
      </w:r>
    </w:p>
    <w:p w:rsidR="00C37121" w:rsidRPr="00043E66" w:rsidRDefault="00C37121" w:rsidP="00043E6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2268"/>
        <w:gridCol w:w="1766"/>
      </w:tblGrid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Académica/académico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b/>
                <w:color w:val="000000"/>
              </w:rPr>
              <w:t>Cargo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b/>
                <w:color w:val="000000"/>
              </w:rPr>
              <w:t>Preferencias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Juan Izquierdo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Director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24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Marina Gambardella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Directora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21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Nícolo Gligo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Director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Alberto Cubillos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Director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Andrés Schwember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Comisión Ética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Fernando Bas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Comisión Ética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Claudio Cafati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Comisión Cuentas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</w:tr>
      <w:tr w:rsidR="00043E66" w:rsidRPr="00043E66" w:rsidTr="00561DE9">
        <w:trPr>
          <w:jc w:val="center"/>
        </w:trPr>
        <w:tc>
          <w:tcPr>
            <w:tcW w:w="2831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Eduardo Venezian</w:t>
            </w:r>
          </w:p>
        </w:tc>
        <w:tc>
          <w:tcPr>
            <w:tcW w:w="2268" w:type="dxa"/>
          </w:tcPr>
          <w:p w:rsidR="00043E66" w:rsidRPr="00043E66" w:rsidRDefault="00043E66" w:rsidP="00561DE9">
            <w:pPr>
              <w:spacing w:after="120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Comisión Cuentas</w:t>
            </w:r>
          </w:p>
        </w:tc>
        <w:tc>
          <w:tcPr>
            <w:tcW w:w="1701" w:type="dxa"/>
          </w:tcPr>
          <w:p w:rsidR="00043E66" w:rsidRPr="00043E66" w:rsidRDefault="00043E66" w:rsidP="00561DE9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43E66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</w:tr>
    </w:tbl>
    <w:p w:rsidR="00043E66" w:rsidRPr="00043E66" w:rsidRDefault="00043E66" w:rsidP="00043E6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</w:p>
    <w:p w:rsidR="00043E66" w:rsidRPr="00043E66" w:rsidRDefault="00043E66" w:rsidP="00043E66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  <w:r w:rsidRPr="00043E66">
        <w:rPr>
          <w:rFonts w:ascii="Verdana" w:eastAsia="Times New Roman" w:hAnsi="Verdana" w:cs="Times New Roman"/>
          <w:color w:val="000000"/>
        </w:rPr>
        <w:t>El Directorio quedaría integrado</w:t>
      </w:r>
      <w:r w:rsidR="00C37121">
        <w:rPr>
          <w:rFonts w:ascii="Verdana" w:eastAsia="Times New Roman" w:hAnsi="Verdana" w:cs="Times New Roman"/>
          <w:color w:val="000000"/>
        </w:rPr>
        <w:t>,</w:t>
      </w:r>
      <w:r w:rsidRPr="00043E66">
        <w:rPr>
          <w:rFonts w:ascii="Verdana" w:eastAsia="Times New Roman" w:hAnsi="Verdana" w:cs="Times New Roman"/>
          <w:color w:val="000000"/>
        </w:rPr>
        <w:t xml:space="preserve"> entonces</w:t>
      </w:r>
      <w:r w:rsidR="00C37121">
        <w:rPr>
          <w:rFonts w:ascii="Verdana" w:eastAsia="Times New Roman" w:hAnsi="Verdana" w:cs="Times New Roman"/>
          <w:color w:val="000000"/>
        </w:rPr>
        <w:t>,</w:t>
      </w:r>
      <w:r w:rsidRPr="00043E66">
        <w:rPr>
          <w:rFonts w:ascii="Verdana" w:eastAsia="Times New Roman" w:hAnsi="Verdana" w:cs="Times New Roman"/>
          <w:color w:val="000000"/>
        </w:rPr>
        <w:t xml:space="preserve"> por los recientemente electos Juan Izquierdo, Marina Gambardella, Nícolo Gligo y Alberto Cubillos, </w:t>
      </w:r>
      <w:r w:rsidR="00C37121">
        <w:rPr>
          <w:rFonts w:ascii="Verdana" w:eastAsia="Times New Roman" w:hAnsi="Verdana" w:cs="Times New Roman"/>
          <w:color w:val="000000"/>
        </w:rPr>
        <w:t>más</w:t>
      </w:r>
      <w:r w:rsidRPr="00043E66">
        <w:rPr>
          <w:rFonts w:ascii="Verdana" w:eastAsia="Times New Roman" w:hAnsi="Verdana" w:cs="Times New Roman"/>
          <w:color w:val="000000"/>
        </w:rPr>
        <w:t xml:space="preserve"> los cuatro directores</w:t>
      </w:r>
      <w:r w:rsidR="00C37121">
        <w:rPr>
          <w:rFonts w:ascii="Verdana" w:eastAsia="Times New Roman" w:hAnsi="Verdana" w:cs="Times New Roman"/>
          <w:color w:val="000000"/>
        </w:rPr>
        <w:t xml:space="preserve"> en ejercicio </w:t>
      </w:r>
      <w:r w:rsidRPr="00043E66">
        <w:rPr>
          <w:rFonts w:ascii="Verdana" w:eastAsia="Times New Roman" w:hAnsi="Verdana" w:cs="Times New Roman"/>
          <w:color w:val="000000"/>
        </w:rPr>
        <w:t>que completarán su período en 2020</w:t>
      </w:r>
      <w:r w:rsidR="00C37121">
        <w:rPr>
          <w:rFonts w:ascii="Verdana" w:eastAsia="Times New Roman" w:hAnsi="Verdana" w:cs="Times New Roman"/>
          <w:color w:val="000000"/>
        </w:rPr>
        <w:t>:</w:t>
      </w:r>
      <w:r w:rsidRPr="00043E66">
        <w:rPr>
          <w:rFonts w:ascii="Verdana" w:eastAsia="Times New Roman" w:hAnsi="Verdana" w:cs="Times New Roman"/>
          <w:color w:val="000000"/>
        </w:rPr>
        <w:t xml:space="preserve"> Fe</w:t>
      </w:r>
      <w:bookmarkStart w:id="5" w:name="_GoBack"/>
      <w:bookmarkEnd w:id="5"/>
      <w:r w:rsidRPr="00043E66">
        <w:rPr>
          <w:rFonts w:ascii="Verdana" w:eastAsia="Times New Roman" w:hAnsi="Verdana" w:cs="Times New Roman"/>
          <w:color w:val="000000"/>
        </w:rPr>
        <w:t>lipe de Solminihac, Bernardo Latorre, Gloria Montenegro y Claudio Wernli.</w:t>
      </w:r>
    </w:p>
    <w:p w:rsidR="00043E66" w:rsidRPr="00043E66" w:rsidRDefault="00043E66" w:rsidP="00ED6A23">
      <w:pPr>
        <w:spacing w:after="120" w:line="240" w:lineRule="auto"/>
        <w:jc w:val="both"/>
        <w:rPr>
          <w:rFonts w:ascii="Verdana" w:eastAsia="Times New Roman" w:hAnsi="Verdana" w:cs="Times New Roman"/>
        </w:rPr>
      </w:pPr>
    </w:p>
    <w:p w:rsidR="0086290C" w:rsidRPr="00043E66" w:rsidRDefault="00C37121" w:rsidP="009731B9">
      <w:pPr>
        <w:spacing w:after="0" w:line="240" w:lineRule="auto"/>
        <w:jc w:val="both"/>
        <w:rPr>
          <w:rFonts w:ascii="Verdana" w:eastAsia="Times New Roman" w:hAnsi="Verdana" w:cs="Times New Roman"/>
        </w:rPr>
      </w:pPr>
      <w:r w:rsidRPr="00043E66">
        <w:rPr>
          <w:rFonts w:ascii="Verdana" w:eastAsia="Times New Roman" w:hAnsi="Verdana" w:cs="Times New Roman"/>
        </w:rPr>
        <w:t>FBP</w:t>
      </w:r>
    </w:p>
    <w:p w:rsidR="00747D21" w:rsidRPr="00043E66" w:rsidRDefault="00C37121" w:rsidP="009731B9">
      <w:pPr>
        <w:spacing w:after="12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Versión 02</w:t>
      </w:r>
      <w:r w:rsidR="009731B9" w:rsidRPr="00043E66">
        <w:rPr>
          <w:rFonts w:ascii="Verdana" w:eastAsia="Times New Roman" w:hAnsi="Verdana" w:cs="Times New Roman"/>
        </w:rPr>
        <w:t>/</w:t>
      </w:r>
      <w:r>
        <w:rPr>
          <w:rFonts w:ascii="Verdana" w:eastAsia="Times New Roman" w:hAnsi="Verdana" w:cs="Times New Roman"/>
        </w:rPr>
        <w:t>05</w:t>
      </w:r>
      <w:r w:rsidR="009731B9" w:rsidRPr="00043E66">
        <w:rPr>
          <w:rFonts w:ascii="Verdana" w:eastAsia="Times New Roman" w:hAnsi="Verdana" w:cs="Times New Roman"/>
        </w:rPr>
        <w:t>/2018</w:t>
      </w:r>
    </w:p>
    <w:sectPr w:rsidR="00747D21" w:rsidRPr="00043E66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9F" w:rsidRDefault="00F57A9F" w:rsidP="00C801F9">
      <w:pPr>
        <w:spacing w:after="0" w:line="240" w:lineRule="auto"/>
      </w:pPr>
      <w:r>
        <w:separator/>
      </w:r>
    </w:p>
  </w:endnote>
  <w:endnote w:type="continuationSeparator" w:id="0">
    <w:p w:rsidR="00F57A9F" w:rsidRDefault="00F57A9F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9F" w:rsidRDefault="00F57A9F" w:rsidP="00C801F9">
      <w:pPr>
        <w:spacing w:after="0" w:line="240" w:lineRule="auto"/>
      </w:pPr>
      <w:r>
        <w:separator/>
      </w:r>
    </w:p>
  </w:footnote>
  <w:footnote w:type="continuationSeparator" w:id="0">
    <w:p w:rsidR="00F57A9F" w:rsidRDefault="00F57A9F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:rsidR="00B83A9C" w:rsidRDefault="00B83A9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21">
          <w:rPr>
            <w:noProof/>
          </w:rPr>
          <w:t>3</w:t>
        </w:r>
        <w:r>
          <w:fldChar w:fldCharType="end"/>
        </w:r>
      </w:p>
    </w:sdtContent>
  </w:sdt>
  <w:p w:rsidR="00B83A9C" w:rsidRDefault="00B83A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A01"/>
    <w:multiLevelType w:val="multilevel"/>
    <w:tmpl w:val="9E603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BF3A32"/>
    <w:multiLevelType w:val="hybridMultilevel"/>
    <w:tmpl w:val="866E8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33F9F"/>
    <w:multiLevelType w:val="hybridMultilevel"/>
    <w:tmpl w:val="495CA7C8"/>
    <w:lvl w:ilvl="0" w:tplc="826CE38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D85"/>
    <w:multiLevelType w:val="hybridMultilevel"/>
    <w:tmpl w:val="157EFB9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F6F"/>
    <w:multiLevelType w:val="hybridMultilevel"/>
    <w:tmpl w:val="2232470A"/>
    <w:lvl w:ilvl="0" w:tplc="3244A2E2">
      <w:start w:val="1"/>
      <w:numFmt w:val="decimal"/>
      <w:lvlText w:val="%1."/>
      <w:lvlJc w:val="left"/>
      <w:pPr>
        <w:ind w:left="500" w:hanging="360"/>
      </w:pPr>
    </w:lvl>
    <w:lvl w:ilvl="1" w:tplc="0C0A0019">
      <w:start w:val="1"/>
      <w:numFmt w:val="lowerLetter"/>
      <w:lvlText w:val="%2."/>
      <w:lvlJc w:val="left"/>
      <w:pPr>
        <w:ind w:left="1220" w:hanging="360"/>
      </w:pPr>
    </w:lvl>
    <w:lvl w:ilvl="2" w:tplc="0C0A001B">
      <w:start w:val="1"/>
      <w:numFmt w:val="lowerRoman"/>
      <w:lvlText w:val="%3."/>
      <w:lvlJc w:val="right"/>
      <w:pPr>
        <w:ind w:left="1940" w:hanging="180"/>
      </w:pPr>
    </w:lvl>
    <w:lvl w:ilvl="3" w:tplc="0C0A000F">
      <w:start w:val="1"/>
      <w:numFmt w:val="decimal"/>
      <w:lvlText w:val="%4."/>
      <w:lvlJc w:val="left"/>
      <w:pPr>
        <w:ind w:left="2660" w:hanging="360"/>
      </w:pPr>
    </w:lvl>
    <w:lvl w:ilvl="4" w:tplc="0C0A0019">
      <w:start w:val="1"/>
      <w:numFmt w:val="lowerLetter"/>
      <w:lvlText w:val="%5."/>
      <w:lvlJc w:val="left"/>
      <w:pPr>
        <w:ind w:left="3380" w:hanging="360"/>
      </w:pPr>
    </w:lvl>
    <w:lvl w:ilvl="5" w:tplc="0C0A001B">
      <w:start w:val="1"/>
      <w:numFmt w:val="lowerRoman"/>
      <w:lvlText w:val="%6."/>
      <w:lvlJc w:val="right"/>
      <w:pPr>
        <w:ind w:left="4100" w:hanging="180"/>
      </w:pPr>
    </w:lvl>
    <w:lvl w:ilvl="6" w:tplc="0C0A000F">
      <w:start w:val="1"/>
      <w:numFmt w:val="decimal"/>
      <w:lvlText w:val="%7."/>
      <w:lvlJc w:val="left"/>
      <w:pPr>
        <w:ind w:left="4820" w:hanging="360"/>
      </w:pPr>
    </w:lvl>
    <w:lvl w:ilvl="7" w:tplc="0C0A0019">
      <w:start w:val="1"/>
      <w:numFmt w:val="lowerLetter"/>
      <w:lvlText w:val="%8."/>
      <w:lvlJc w:val="left"/>
      <w:pPr>
        <w:ind w:left="5540" w:hanging="360"/>
      </w:pPr>
    </w:lvl>
    <w:lvl w:ilvl="8" w:tplc="0C0A001B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906310E"/>
    <w:multiLevelType w:val="hybridMultilevel"/>
    <w:tmpl w:val="0684653A"/>
    <w:lvl w:ilvl="0" w:tplc="C57E0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516B74"/>
    <w:multiLevelType w:val="hybridMultilevel"/>
    <w:tmpl w:val="91365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7844"/>
    <w:multiLevelType w:val="hybridMultilevel"/>
    <w:tmpl w:val="03481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634F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4A5E45"/>
    <w:multiLevelType w:val="hybridMultilevel"/>
    <w:tmpl w:val="A2E84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4C4"/>
    <w:multiLevelType w:val="multilevel"/>
    <w:tmpl w:val="AF84F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302000E7"/>
    <w:multiLevelType w:val="hybridMultilevel"/>
    <w:tmpl w:val="78C20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03B3"/>
    <w:multiLevelType w:val="multilevel"/>
    <w:tmpl w:val="4B486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A5A5D72"/>
    <w:multiLevelType w:val="hybridMultilevel"/>
    <w:tmpl w:val="12BE6E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339B9"/>
    <w:multiLevelType w:val="hybridMultilevel"/>
    <w:tmpl w:val="99EA130A"/>
    <w:lvl w:ilvl="0" w:tplc="2E6AD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6939"/>
    <w:multiLevelType w:val="hybridMultilevel"/>
    <w:tmpl w:val="10887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6E2"/>
    <w:multiLevelType w:val="multilevel"/>
    <w:tmpl w:val="FD565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BD02C10"/>
    <w:multiLevelType w:val="multilevel"/>
    <w:tmpl w:val="B2BE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794C23"/>
    <w:multiLevelType w:val="multilevel"/>
    <w:tmpl w:val="36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11F9"/>
    <w:multiLevelType w:val="hybridMultilevel"/>
    <w:tmpl w:val="79BA7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62AC"/>
    <w:multiLevelType w:val="hybridMultilevel"/>
    <w:tmpl w:val="3EBA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B42"/>
    <w:multiLevelType w:val="hybridMultilevel"/>
    <w:tmpl w:val="66AAE1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51E5"/>
    <w:multiLevelType w:val="hybridMultilevel"/>
    <w:tmpl w:val="02B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79C6"/>
    <w:multiLevelType w:val="hybridMultilevel"/>
    <w:tmpl w:val="CD46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3A90"/>
    <w:multiLevelType w:val="hybridMultilevel"/>
    <w:tmpl w:val="442C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ABA"/>
    <w:multiLevelType w:val="hybridMultilevel"/>
    <w:tmpl w:val="203E6BB8"/>
    <w:lvl w:ilvl="0" w:tplc="936898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3D7061"/>
    <w:multiLevelType w:val="hybridMultilevel"/>
    <w:tmpl w:val="1144C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87A8C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6"/>
  </w:num>
  <w:num w:numId="5">
    <w:abstractNumId w:val="11"/>
  </w:num>
  <w:num w:numId="6">
    <w:abstractNumId w:val="2"/>
  </w:num>
  <w:num w:numId="7">
    <w:abstractNumId w:val="30"/>
  </w:num>
  <w:num w:numId="8">
    <w:abstractNumId w:val="4"/>
  </w:num>
  <w:num w:numId="9">
    <w:abstractNumId w:val="26"/>
  </w:num>
  <w:num w:numId="10">
    <w:abstractNumId w:val="14"/>
  </w:num>
  <w:num w:numId="11">
    <w:abstractNumId w:val="21"/>
  </w:num>
  <w:num w:numId="12">
    <w:abstractNumId w:val="32"/>
  </w:num>
  <w:num w:numId="13">
    <w:abstractNumId w:val="8"/>
  </w:num>
  <w:num w:numId="14">
    <w:abstractNumId w:val="28"/>
  </w:num>
  <w:num w:numId="15">
    <w:abstractNumId w:val="31"/>
  </w:num>
  <w:num w:numId="16">
    <w:abstractNumId w:val="1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20"/>
  </w:num>
  <w:num w:numId="21">
    <w:abstractNumId w:val="35"/>
  </w:num>
  <w:num w:numId="22">
    <w:abstractNumId w:val="1"/>
  </w:num>
  <w:num w:numId="23">
    <w:abstractNumId w:val="34"/>
  </w:num>
  <w:num w:numId="24">
    <w:abstractNumId w:val="15"/>
  </w:num>
  <w:num w:numId="25">
    <w:abstractNumId w:val="9"/>
  </w:num>
  <w:num w:numId="26">
    <w:abstractNumId w:val="29"/>
  </w:num>
  <w:num w:numId="27">
    <w:abstractNumId w:val="13"/>
  </w:num>
  <w:num w:numId="28">
    <w:abstractNumId w:val="18"/>
  </w:num>
  <w:num w:numId="29">
    <w:abstractNumId w:val="0"/>
  </w:num>
  <w:num w:numId="30">
    <w:abstractNumId w:val="3"/>
  </w:num>
  <w:num w:numId="31">
    <w:abstractNumId w:val="5"/>
  </w:num>
  <w:num w:numId="32">
    <w:abstractNumId w:val="22"/>
  </w:num>
  <w:num w:numId="33">
    <w:abstractNumId w:val="33"/>
  </w:num>
  <w:num w:numId="34">
    <w:abstractNumId w:val="1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DE"/>
    <w:rsid w:val="0000561B"/>
    <w:rsid w:val="0001094E"/>
    <w:rsid w:val="0001300D"/>
    <w:rsid w:val="00022463"/>
    <w:rsid w:val="00034EF5"/>
    <w:rsid w:val="000350F5"/>
    <w:rsid w:val="00042A1B"/>
    <w:rsid w:val="00043E66"/>
    <w:rsid w:val="00046A1C"/>
    <w:rsid w:val="00064A17"/>
    <w:rsid w:val="00064E88"/>
    <w:rsid w:val="0008299E"/>
    <w:rsid w:val="000A418B"/>
    <w:rsid w:val="000B01EF"/>
    <w:rsid w:val="000B465B"/>
    <w:rsid w:val="000C6946"/>
    <w:rsid w:val="000D4CA5"/>
    <w:rsid w:val="000D520C"/>
    <w:rsid w:val="000F2A3C"/>
    <w:rsid w:val="000F44A0"/>
    <w:rsid w:val="001212EC"/>
    <w:rsid w:val="00124B47"/>
    <w:rsid w:val="00132C53"/>
    <w:rsid w:val="00154A03"/>
    <w:rsid w:val="00176363"/>
    <w:rsid w:val="00194B54"/>
    <w:rsid w:val="001A4B71"/>
    <w:rsid w:val="001A6734"/>
    <w:rsid w:val="001B0E78"/>
    <w:rsid w:val="001D3A4C"/>
    <w:rsid w:val="001D4B4F"/>
    <w:rsid w:val="001D5307"/>
    <w:rsid w:val="001E75F5"/>
    <w:rsid w:val="001F5A1C"/>
    <w:rsid w:val="002071E6"/>
    <w:rsid w:val="0021661D"/>
    <w:rsid w:val="002223C5"/>
    <w:rsid w:val="00233DB2"/>
    <w:rsid w:val="002430C4"/>
    <w:rsid w:val="0025493A"/>
    <w:rsid w:val="00260E28"/>
    <w:rsid w:val="002658F3"/>
    <w:rsid w:val="00265CEE"/>
    <w:rsid w:val="0026761F"/>
    <w:rsid w:val="00271350"/>
    <w:rsid w:val="002750DE"/>
    <w:rsid w:val="002758EB"/>
    <w:rsid w:val="00277DA5"/>
    <w:rsid w:val="00283146"/>
    <w:rsid w:val="002A27B8"/>
    <w:rsid w:val="002A5BD7"/>
    <w:rsid w:val="002E5591"/>
    <w:rsid w:val="002F097B"/>
    <w:rsid w:val="002F131C"/>
    <w:rsid w:val="002F307F"/>
    <w:rsid w:val="00314B7B"/>
    <w:rsid w:val="00316FFB"/>
    <w:rsid w:val="00347FBA"/>
    <w:rsid w:val="00360CCE"/>
    <w:rsid w:val="003650E6"/>
    <w:rsid w:val="003675CC"/>
    <w:rsid w:val="00376876"/>
    <w:rsid w:val="00380E98"/>
    <w:rsid w:val="00385BD3"/>
    <w:rsid w:val="00385E7B"/>
    <w:rsid w:val="003909E5"/>
    <w:rsid w:val="003A1DC2"/>
    <w:rsid w:val="003A330A"/>
    <w:rsid w:val="003C1C70"/>
    <w:rsid w:val="003D3767"/>
    <w:rsid w:val="003F3C1E"/>
    <w:rsid w:val="003F56DC"/>
    <w:rsid w:val="00404545"/>
    <w:rsid w:val="00405962"/>
    <w:rsid w:val="00425986"/>
    <w:rsid w:val="00446B14"/>
    <w:rsid w:val="00447DC2"/>
    <w:rsid w:val="004540DA"/>
    <w:rsid w:val="00465D26"/>
    <w:rsid w:val="0047441F"/>
    <w:rsid w:val="0047444C"/>
    <w:rsid w:val="00474690"/>
    <w:rsid w:val="00480B7E"/>
    <w:rsid w:val="004926C3"/>
    <w:rsid w:val="0049340B"/>
    <w:rsid w:val="004A1EBF"/>
    <w:rsid w:val="004D690D"/>
    <w:rsid w:val="004E7D45"/>
    <w:rsid w:val="00515908"/>
    <w:rsid w:val="00543C84"/>
    <w:rsid w:val="00546208"/>
    <w:rsid w:val="00557FCE"/>
    <w:rsid w:val="005607C2"/>
    <w:rsid w:val="00580625"/>
    <w:rsid w:val="0058632C"/>
    <w:rsid w:val="00586B8F"/>
    <w:rsid w:val="0059209B"/>
    <w:rsid w:val="005939C9"/>
    <w:rsid w:val="005A70DC"/>
    <w:rsid w:val="005B6735"/>
    <w:rsid w:val="005B7D2C"/>
    <w:rsid w:val="005C7A5A"/>
    <w:rsid w:val="005E62A9"/>
    <w:rsid w:val="006120C8"/>
    <w:rsid w:val="006126E9"/>
    <w:rsid w:val="0062253F"/>
    <w:rsid w:val="006366E4"/>
    <w:rsid w:val="00640D7B"/>
    <w:rsid w:val="00647E37"/>
    <w:rsid w:val="00652C80"/>
    <w:rsid w:val="0066531B"/>
    <w:rsid w:val="00674D34"/>
    <w:rsid w:val="006807CD"/>
    <w:rsid w:val="00680F03"/>
    <w:rsid w:val="006824C3"/>
    <w:rsid w:val="0069477B"/>
    <w:rsid w:val="0069528B"/>
    <w:rsid w:val="00697665"/>
    <w:rsid w:val="006A3280"/>
    <w:rsid w:val="006A6471"/>
    <w:rsid w:val="006C2B92"/>
    <w:rsid w:val="006D446F"/>
    <w:rsid w:val="006E0B43"/>
    <w:rsid w:val="006E6F0F"/>
    <w:rsid w:val="006F6F63"/>
    <w:rsid w:val="00702DE8"/>
    <w:rsid w:val="00707A37"/>
    <w:rsid w:val="00715BD9"/>
    <w:rsid w:val="007406F7"/>
    <w:rsid w:val="00747D21"/>
    <w:rsid w:val="00757930"/>
    <w:rsid w:val="00766891"/>
    <w:rsid w:val="0078491D"/>
    <w:rsid w:val="007862DE"/>
    <w:rsid w:val="0079309E"/>
    <w:rsid w:val="00796A82"/>
    <w:rsid w:val="007C52ED"/>
    <w:rsid w:val="007D2B89"/>
    <w:rsid w:val="007D49A2"/>
    <w:rsid w:val="007E7CB1"/>
    <w:rsid w:val="00816D8A"/>
    <w:rsid w:val="00842B4C"/>
    <w:rsid w:val="00856CF6"/>
    <w:rsid w:val="0086290C"/>
    <w:rsid w:val="0087273B"/>
    <w:rsid w:val="008943BC"/>
    <w:rsid w:val="008A3104"/>
    <w:rsid w:val="008C1A54"/>
    <w:rsid w:val="0090465F"/>
    <w:rsid w:val="00917A5D"/>
    <w:rsid w:val="00921503"/>
    <w:rsid w:val="009428E7"/>
    <w:rsid w:val="00960901"/>
    <w:rsid w:val="009731B9"/>
    <w:rsid w:val="0097726D"/>
    <w:rsid w:val="0099731B"/>
    <w:rsid w:val="009A2377"/>
    <w:rsid w:val="009B021F"/>
    <w:rsid w:val="009D74EE"/>
    <w:rsid w:val="009E1CB6"/>
    <w:rsid w:val="009E5F12"/>
    <w:rsid w:val="009E6553"/>
    <w:rsid w:val="009F08BA"/>
    <w:rsid w:val="009F23FD"/>
    <w:rsid w:val="00A0202E"/>
    <w:rsid w:val="00A02F3C"/>
    <w:rsid w:val="00A04B1F"/>
    <w:rsid w:val="00A1415B"/>
    <w:rsid w:val="00A1464D"/>
    <w:rsid w:val="00A3769D"/>
    <w:rsid w:val="00A40702"/>
    <w:rsid w:val="00A43093"/>
    <w:rsid w:val="00A45739"/>
    <w:rsid w:val="00A457FC"/>
    <w:rsid w:val="00A52386"/>
    <w:rsid w:val="00A54E5F"/>
    <w:rsid w:val="00A57CA9"/>
    <w:rsid w:val="00A6005E"/>
    <w:rsid w:val="00A60228"/>
    <w:rsid w:val="00A7238C"/>
    <w:rsid w:val="00A9111D"/>
    <w:rsid w:val="00A95500"/>
    <w:rsid w:val="00AB1AF6"/>
    <w:rsid w:val="00AB201C"/>
    <w:rsid w:val="00AC3FCC"/>
    <w:rsid w:val="00B21982"/>
    <w:rsid w:val="00B25C91"/>
    <w:rsid w:val="00B31C90"/>
    <w:rsid w:val="00B36AC4"/>
    <w:rsid w:val="00B54AC7"/>
    <w:rsid w:val="00B82541"/>
    <w:rsid w:val="00B83A9C"/>
    <w:rsid w:val="00B84765"/>
    <w:rsid w:val="00BA6203"/>
    <w:rsid w:val="00BA7ECC"/>
    <w:rsid w:val="00BB7DA4"/>
    <w:rsid w:val="00BC499D"/>
    <w:rsid w:val="00BD18DB"/>
    <w:rsid w:val="00BD50F0"/>
    <w:rsid w:val="00BE0153"/>
    <w:rsid w:val="00C15B1C"/>
    <w:rsid w:val="00C37121"/>
    <w:rsid w:val="00C54636"/>
    <w:rsid w:val="00C62A9A"/>
    <w:rsid w:val="00C67880"/>
    <w:rsid w:val="00C762F9"/>
    <w:rsid w:val="00C801F9"/>
    <w:rsid w:val="00C916AA"/>
    <w:rsid w:val="00C91ADF"/>
    <w:rsid w:val="00CB4D37"/>
    <w:rsid w:val="00CC41F4"/>
    <w:rsid w:val="00CE32A5"/>
    <w:rsid w:val="00D04556"/>
    <w:rsid w:val="00D630BA"/>
    <w:rsid w:val="00D64907"/>
    <w:rsid w:val="00D71099"/>
    <w:rsid w:val="00D80171"/>
    <w:rsid w:val="00D87E41"/>
    <w:rsid w:val="00D937A5"/>
    <w:rsid w:val="00D960CE"/>
    <w:rsid w:val="00DB400D"/>
    <w:rsid w:val="00DC336A"/>
    <w:rsid w:val="00DD5438"/>
    <w:rsid w:val="00DE62A3"/>
    <w:rsid w:val="00E2528D"/>
    <w:rsid w:val="00E27E78"/>
    <w:rsid w:val="00E30547"/>
    <w:rsid w:val="00E6058E"/>
    <w:rsid w:val="00E6097E"/>
    <w:rsid w:val="00E6381F"/>
    <w:rsid w:val="00EC1772"/>
    <w:rsid w:val="00EC28A5"/>
    <w:rsid w:val="00ED6A23"/>
    <w:rsid w:val="00EE7F61"/>
    <w:rsid w:val="00EF4459"/>
    <w:rsid w:val="00F11705"/>
    <w:rsid w:val="00F11A56"/>
    <w:rsid w:val="00F15EA2"/>
    <w:rsid w:val="00F373B9"/>
    <w:rsid w:val="00F404BD"/>
    <w:rsid w:val="00F41079"/>
    <w:rsid w:val="00F44ABC"/>
    <w:rsid w:val="00F47906"/>
    <w:rsid w:val="00F51BC2"/>
    <w:rsid w:val="00F57A9F"/>
    <w:rsid w:val="00F61E8B"/>
    <w:rsid w:val="00F747B4"/>
    <w:rsid w:val="00F76B5A"/>
    <w:rsid w:val="00F87DC6"/>
    <w:rsid w:val="00F955F4"/>
    <w:rsid w:val="00FB147E"/>
    <w:rsid w:val="00FB5936"/>
    <w:rsid w:val="00FC7877"/>
    <w:rsid w:val="00FD281C"/>
    <w:rsid w:val="00FE0C5D"/>
    <w:rsid w:val="00FF06BC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F042-69DE-4E4D-8310-B5AA9DE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  <w:style w:type="paragraph" w:customStyle="1" w:styleId="Default">
    <w:name w:val="Default"/>
    <w:rsid w:val="002676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549A-0553-4B02-9557-7B5C125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Windows</cp:lastModifiedBy>
  <cp:revision>4</cp:revision>
  <cp:lastPrinted>2015-04-14T13:10:00Z</cp:lastPrinted>
  <dcterms:created xsi:type="dcterms:W3CDTF">2019-05-02T16:34:00Z</dcterms:created>
  <dcterms:modified xsi:type="dcterms:W3CDTF">2019-05-02T20:02:00Z</dcterms:modified>
</cp:coreProperties>
</file>