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4" w:rsidRPr="0017636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bookmarkStart w:id="0" w:name="_GoBack"/>
      <w:bookmarkEnd w:id="0"/>
      <w:r w:rsidRPr="00176363">
        <w:rPr>
          <w:rFonts w:ascii="Verdana" w:hAnsi="Verdana" w:cs="Arial"/>
          <w:noProof/>
        </w:rPr>
        <w:drawing>
          <wp:inline distT="0" distB="0" distL="0" distR="0" wp14:anchorId="7F05A642" wp14:editId="16C820F3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0B" w:rsidRPr="00176363" w:rsidRDefault="007862DE" w:rsidP="00176363">
      <w:pPr>
        <w:tabs>
          <w:tab w:val="center" w:pos="4419"/>
          <w:tab w:val="left" w:pos="5256"/>
        </w:tabs>
        <w:spacing w:after="120" w:line="240" w:lineRule="auto"/>
        <w:jc w:val="center"/>
        <w:rPr>
          <w:rFonts w:ascii="Verdana" w:hAnsi="Verdana" w:cs="Arial"/>
          <w:b/>
        </w:rPr>
      </w:pPr>
      <w:r w:rsidRPr="00176363">
        <w:rPr>
          <w:rFonts w:ascii="Verdana" w:hAnsi="Verdana" w:cs="Arial"/>
          <w:b/>
        </w:rPr>
        <w:t>ACTA</w:t>
      </w:r>
      <w:r w:rsidR="002223C5">
        <w:rPr>
          <w:rFonts w:ascii="Verdana" w:hAnsi="Verdana" w:cs="Arial"/>
          <w:b/>
        </w:rPr>
        <w:t xml:space="preserve"> </w:t>
      </w:r>
      <w:r w:rsidR="00A57CA9" w:rsidRPr="00176363">
        <w:rPr>
          <w:rFonts w:ascii="Verdana" w:hAnsi="Verdana" w:cs="Arial"/>
          <w:b/>
        </w:rPr>
        <w:t>PRIMERA</w:t>
      </w:r>
      <w:r w:rsidR="002223C5">
        <w:rPr>
          <w:rFonts w:ascii="Verdana" w:hAnsi="Verdana" w:cs="Arial"/>
          <w:b/>
        </w:rPr>
        <w:t xml:space="preserve"> </w:t>
      </w:r>
      <w:r w:rsidR="0000561B">
        <w:rPr>
          <w:rFonts w:ascii="Verdana" w:hAnsi="Verdana" w:cs="Arial"/>
          <w:b/>
        </w:rPr>
        <w:t>ASAMBLEA</w:t>
      </w:r>
      <w:r w:rsidR="002223C5">
        <w:rPr>
          <w:rFonts w:ascii="Verdana" w:hAnsi="Verdana" w:cs="Arial"/>
          <w:b/>
        </w:rPr>
        <w:t xml:space="preserve"> </w:t>
      </w:r>
      <w:r w:rsidR="0000561B">
        <w:rPr>
          <w:rFonts w:ascii="Verdana" w:hAnsi="Verdana" w:cs="Arial"/>
          <w:b/>
        </w:rPr>
        <w:t>ORDINARIA</w:t>
      </w:r>
      <w:r w:rsidR="002223C5">
        <w:rPr>
          <w:rFonts w:ascii="Verdana" w:hAnsi="Verdana" w:cs="Arial"/>
          <w:b/>
        </w:rPr>
        <w:t xml:space="preserve"> </w:t>
      </w:r>
      <w:r w:rsidR="00A57CA9" w:rsidRPr="00176363">
        <w:rPr>
          <w:rFonts w:ascii="Verdana" w:hAnsi="Verdana" w:cs="Arial"/>
          <w:b/>
        </w:rPr>
        <w:t>2018</w:t>
      </w:r>
    </w:p>
    <w:p w:rsidR="00176363" w:rsidRDefault="00176363" w:rsidP="00176363">
      <w:pPr>
        <w:tabs>
          <w:tab w:val="center" w:pos="4419"/>
          <w:tab w:val="left" w:pos="5256"/>
        </w:tabs>
        <w:spacing w:after="0" w:line="240" w:lineRule="auto"/>
        <w:rPr>
          <w:rFonts w:ascii="Verdana" w:hAnsi="Verdana" w:cs="Arial"/>
        </w:rPr>
      </w:pPr>
    </w:p>
    <w:p w:rsidR="007862DE" w:rsidRPr="00176363" w:rsidRDefault="0049340B" w:rsidP="00B84765">
      <w:pPr>
        <w:spacing w:after="0" w:line="240" w:lineRule="auto"/>
        <w:ind w:left="2127"/>
        <w:rPr>
          <w:rFonts w:ascii="Verdana" w:hAnsi="Verdana" w:cs="Arial"/>
        </w:rPr>
      </w:pPr>
      <w:r w:rsidRPr="00176363">
        <w:rPr>
          <w:rFonts w:ascii="Verdana" w:hAnsi="Verdana" w:cs="Arial"/>
        </w:rPr>
        <w:t>F</w:t>
      </w:r>
      <w:r w:rsidR="007862DE" w:rsidRPr="00176363">
        <w:rPr>
          <w:rFonts w:ascii="Verdana" w:hAnsi="Verdana" w:cs="Arial"/>
        </w:rPr>
        <w:t>echa:</w:t>
      </w:r>
      <w:r w:rsidR="002223C5">
        <w:rPr>
          <w:rFonts w:ascii="Verdana" w:hAnsi="Verdana" w:cs="Arial"/>
        </w:rPr>
        <w:t xml:space="preserve"> </w:t>
      </w:r>
      <w:r w:rsidR="00FB147E">
        <w:rPr>
          <w:rFonts w:ascii="Verdana" w:hAnsi="Verdana" w:cs="Arial"/>
        </w:rPr>
        <w:tab/>
      </w:r>
      <w:r w:rsidR="00FB147E">
        <w:rPr>
          <w:rFonts w:ascii="Verdana" w:hAnsi="Verdana" w:cs="Arial"/>
        </w:rPr>
        <w:tab/>
      </w:r>
      <w:r w:rsidR="00697665" w:rsidRPr="00176363">
        <w:rPr>
          <w:rFonts w:ascii="Verdana" w:hAnsi="Verdana" w:cs="Arial"/>
        </w:rPr>
        <w:t>15</w:t>
      </w:r>
      <w:r w:rsidR="002223C5">
        <w:rPr>
          <w:rFonts w:ascii="Verdana" w:hAnsi="Verdana" w:cs="Arial"/>
        </w:rPr>
        <w:t xml:space="preserve"> </w:t>
      </w:r>
      <w:r w:rsidR="00697665" w:rsidRPr="00176363">
        <w:rPr>
          <w:rFonts w:ascii="Verdana" w:hAnsi="Verdana" w:cs="Arial"/>
        </w:rPr>
        <w:t>de</w:t>
      </w:r>
      <w:r w:rsidR="002223C5">
        <w:rPr>
          <w:rFonts w:ascii="Verdana" w:hAnsi="Verdana" w:cs="Arial"/>
        </w:rPr>
        <w:t xml:space="preserve"> </w:t>
      </w:r>
      <w:r w:rsidR="00697665" w:rsidRPr="00176363">
        <w:rPr>
          <w:rFonts w:ascii="Verdana" w:hAnsi="Verdana" w:cs="Arial"/>
        </w:rPr>
        <w:t>marzo</w:t>
      </w:r>
      <w:r w:rsidR="002223C5">
        <w:rPr>
          <w:rFonts w:ascii="Verdana" w:hAnsi="Verdana" w:cs="Arial"/>
        </w:rPr>
        <w:t xml:space="preserve"> </w:t>
      </w:r>
      <w:r w:rsidR="00380E98" w:rsidRPr="00176363">
        <w:rPr>
          <w:rFonts w:ascii="Verdana" w:hAnsi="Verdana" w:cs="Arial"/>
        </w:rPr>
        <w:t>201</w:t>
      </w:r>
      <w:r w:rsidR="00697665" w:rsidRPr="00176363">
        <w:rPr>
          <w:rFonts w:ascii="Verdana" w:hAnsi="Verdana" w:cs="Arial"/>
        </w:rPr>
        <w:t>8</w:t>
      </w:r>
    </w:p>
    <w:p w:rsidR="007862DE" w:rsidRPr="00176363" w:rsidRDefault="007862DE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Hora: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9E5F12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7</w:t>
      </w:r>
      <w:r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697665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9</w:t>
      </w:r>
      <w:r w:rsidR="00380E98"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</w:p>
    <w:p w:rsidR="007862DE" w:rsidRDefault="007862DE" w:rsidP="00B84765">
      <w:pPr>
        <w:pStyle w:val="Textosinformato"/>
        <w:spacing w:after="120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Lugar: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640D7B" w:rsidRPr="00176363">
        <w:rPr>
          <w:rFonts w:ascii="Verdana" w:hAnsi="Verdana"/>
          <w:szCs w:val="22"/>
        </w:rPr>
        <w:t>Estadio</w:t>
      </w:r>
      <w:r w:rsidR="002223C5">
        <w:rPr>
          <w:rFonts w:ascii="Verdana" w:hAnsi="Verdana"/>
          <w:szCs w:val="22"/>
        </w:rPr>
        <w:t xml:space="preserve"> </w:t>
      </w:r>
      <w:r w:rsidR="00640D7B" w:rsidRPr="00176363">
        <w:rPr>
          <w:rFonts w:ascii="Verdana" w:hAnsi="Verdana"/>
          <w:szCs w:val="22"/>
        </w:rPr>
        <w:t>Croata</w:t>
      </w:r>
    </w:p>
    <w:p w:rsidR="00C801F9" w:rsidRPr="00176363" w:rsidRDefault="00C801F9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Preside: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eastAsia="Times New Roman" w:hAnsi="Verdana"/>
          <w:bCs/>
          <w:szCs w:val="22"/>
        </w:rPr>
        <w:t>Edmundo</w:t>
      </w:r>
      <w:r w:rsidR="002223C5">
        <w:rPr>
          <w:rFonts w:ascii="Verdana" w:eastAsia="Times New Roman" w:hAnsi="Verdana"/>
          <w:bCs/>
          <w:szCs w:val="22"/>
        </w:rPr>
        <w:t xml:space="preserve"> </w:t>
      </w:r>
      <w:r w:rsidRPr="00176363">
        <w:rPr>
          <w:rFonts w:ascii="Verdana" w:eastAsia="Times New Roman" w:hAnsi="Verdana"/>
          <w:bCs/>
          <w:szCs w:val="22"/>
        </w:rPr>
        <w:t>Acevedo</w:t>
      </w:r>
    </w:p>
    <w:p w:rsidR="00C801F9" w:rsidRDefault="00C801F9" w:rsidP="00B84765">
      <w:pPr>
        <w:pStyle w:val="Textosinformato"/>
        <w:spacing w:after="120"/>
        <w:ind w:left="2127"/>
        <w:rPr>
          <w:rFonts w:ascii="Verdana" w:eastAsia="Times New Roman" w:hAnsi="Verdana"/>
          <w:bCs/>
          <w:szCs w:val="22"/>
        </w:rPr>
      </w:pPr>
      <w:r w:rsidRPr="00176363">
        <w:rPr>
          <w:rFonts w:ascii="Verdana" w:hAnsi="Verdana"/>
          <w:szCs w:val="22"/>
        </w:rPr>
        <w:t>Secretaría: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eastAsia="Times New Roman" w:hAnsi="Verdana"/>
          <w:bCs/>
          <w:szCs w:val="22"/>
        </w:rPr>
        <w:t>Francisco</w:t>
      </w:r>
      <w:r w:rsidR="002223C5">
        <w:rPr>
          <w:rFonts w:ascii="Verdana" w:eastAsia="Times New Roman" w:hAnsi="Verdana"/>
          <w:bCs/>
          <w:szCs w:val="22"/>
        </w:rPr>
        <w:t xml:space="preserve"> </w:t>
      </w:r>
      <w:r w:rsidRPr="00176363">
        <w:rPr>
          <w:rFonts w:ascii="Verdana" w:eastAsia="Times New Roman" w:hAnsi="Verdana"/>
          <w:bCs/>
          <w:szCs w:val="22"/>
        </w:rPr>
        <w:t>Brzovic</w:t>
      </w:r>
    </w:p>
    <w:p w:rsidR="00FB147E" w:rsidRDefault="00FB14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FB147E" w:rsidRPr="00FB147E" w:rsidRDefault="00FB147E" w:rsidP="00FB147E">
      <w:pPr>
        <w:pStyle w:val="Textosinformato"/>
        <w:spacing w:after="120"/>
        <w:ind w:left="2127" w:firstLine="709"/>
        <w:rPr>
          <w:rFonts w:ascii="Verdana" w:hAnsi="Verdana"/>
          <w:b/>
          <w:szCs w:val="22"/>
        </w:rPr>
      </w:pPr>
      <w:r w:rsidRPr="00FB147E">
        <w:rPr>
          <w:rFonts w:ascii="Verdana" w:hAnsi="Verdana"/>
          <w:b/>
          <w:szCs w:val="22"/>
        </w:rPr>
        <w:t>CONTENIDOS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DEL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ACTA</w:t>
      </w:r>
    </w:p>
    <w:p w:rsidR="006F6F63" w:rsidRDefault="00FB147E">
      <w:pPr>
        <w:pStyle w:val="TDC1"/>
        <w:tabs>
          <w:tab w:val="right" w:leader="dot" w:pos="9111"/>
        </w:tabs>
        <w:rPr>
          <w:noProof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nstrText xml:space="preserve"> TOC \o "1-4" \h \z \u </w:instrTex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509521985" w:history="1">
        <w:r w:rsidR="006F6F63" w:rsidRPr="00D17056">
          <w:rPr>
            <w:rStyle w:val="Hipervnculo"/>
            <w:noProof/>
          </w:rPr>
          <w:t>ASISTENCIA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_Toc509521985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2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1"/>
        <w:tabs>
          <w:tab w:val="right" w:leader="dot" w:pos="9111"/>
        </w:tabs>
        <w:rPr>
          <w:noProof/>
        </w:rPr>
      </w:pPr>
      <w:hyperlink w:anchor="_Toc509521986" w:history="1">
        <w:r w:rsidR="006F6F63" w:rsidRPr="00D17056">
          <w:rPr>
            <w:rStyle w:val="Hipervnculo"/>
            <w:noProof/>
          </w:rPr>
          <w:t>TABLA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_Toc509521986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2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1"/>
        <w:tabs>
          <w:tab w:val="right" w:leader="dot" w:pos="9111"/>
        </w:tabs>
        <w:rPr>
          <w:noProof/>
        </w:rPr>
      </w:pPr>
      <w:hyperlink w:anchor="_Toc509521987" w:history="1">
        <w:r w:rsidR="006F6F63" w:rsidRPr="00D17056">
          <w:rPr>
            <w:rStyle w:val="Hipervnculo"/>
            <w:noProof/>
          </w:rPr>
          <w:t>ACUERDOS ALCANZADOS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_Toc509521987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2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1"/>
        <w:tabs>
          <w:tab w:val="right" w:leader="dot" w:pos="9111"/>
        </w:tabs>
        <w:rPr>
          <w:noProof/>
        </w:rPr>
      </w:pPr>
      <w:hyperlink w:anchor="_Toc509521988" w:history="1">
        <w:r w:rsidR="006F6F63" w:rsidRPr="00D17056">
          <w:rPr>
            <w:rStyle w:val="Hipervnculo"/>
            <w:noProof/>
          </w:rPr>
          <w:t>DESARROLLO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_Toc509521988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2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09521989" w:history="1">
        <w:r w:rsidR="006F6F63" w:rsidRPr="00D17056">
          <w:rPr>
            <w:rStyle w:val="Hipervnculo"/>
            <w:noProof/>
          </w:rPr>
          <w:t>1.</w:t>
        </w:r>
        <w:r w:rsidR="006F6F63">
          <w:rPr>
            <w:noProof/>
          </w:rPr>
          <w:tab/>
        </w:r>
        <w:r w:rsidR="006F6F63" w:rsidRPr="00D17056">
          <w:rPr>
            <w:rStyle w:val="Hipervnculo"/>
            <w:noProof/>
          </w:rPr>
          <w:t>Minuto de silencio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_Toc509521989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2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09521990" w:history="1">
        <w:r w:rsidR="006F6F63" w:rsidRPr="00D17056">
          <w:rPr>
            <w:rStyle w:val="Hipervnculo"/>
            <w:noProof/>
          </w:rPr>
          <w:t>2.</w:t>
        </w:r>
        <w:r w:rsidR="006F6F63">
          <w:rPr>
            <w:noProof/>
          </w:rPr>
          <w:tab/>
        </w:r>
        <w:r w:rsidR="006F6F63" w:rsidRPr="00D17056">
          <w:rPr>
            <w:rStyle w:val="Hipervnculo"/>
            <w:noProof/>
          </w:rPr>
          <w:t>Lectura y seguimiento del acta anterior.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_Toc509521990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2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09521991" w:history="1">
        <w:r w:rsidR="006F6F63" w:rsidRPr="00D17056">
          <w:rPr>
            <w:rStyle w:val="Hipervnculo"/>
            <w:noProof/>
          </w:rPr>
          <w:t>3.</w:t>
        </w:r>
        <w:r w:rsidR="006F6F63">
          <w:rPr>
            <w:noProof/>
          </w:rPr>
          <w:tab/>
        </w:r>
        <w:r w:rsidR="006F6F63" w:rsidRPr="00D17056">
          <w:rPr>
            <w:rStyle w:val="Hipervnculo"/>
            <w:noProof/>
          </w:rPr>
          <w:t>Informe de tesorería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_Toc509521991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3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09521992" w:history="1">
        <w:r w:rsidR="006F6F63" w:rsidRPr="00D17056">
          <w:rPr>
            <w:rStyle w:val="Hipervnculo"/>
            <w:noProof/>
          </w:rPr>
          <w:t>4.</w:t>
        </w:r>
        <w:r w:rsidR="006F6F63">
          <w:rPr>
            <w:noProof/>
          </w:rPr>
          <w:tab/>
        </w:r>
        <w:r w:rsidR="006F6F63" w:rsidRPr="00D17056">
          <w:rPr>
            <w:rStyle w:val="Hipervnculo"/>
            <w:noProof/>
          </w:rPr>
          <w:t>Varios.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_Toc509521992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3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3"/>
        <w:tabs>
          <w:tab w:val="left" w:pos="1100"/>
          <w:tab w:val="right" w:leader="dot" w:pos="9111"/>
        </w:tabs>
        <w:rPr>
          <w:noProof/>
        </w:rPr>
      </w:pPr>
      <w:hyperlink w:anchor="_Toc509521993" w:history="1">
        <w:r w:rsidR="006F6F63" w:rsidRPr="00D17056">
          <w:rPr>
            <w:rStyle w:val="Hipervnculo"/>
            <w:noProof/>
          </w:rPr>
          <w:t>4.1</w:t>
        </w:r>
        <w:r w:rsidR="006F6F63">
          <w:rPr>
            <w:noProof/>
          </w:rPr>
          <w:tab/>
        </w:r>
        <w:r w:rsidR="006F6F63" w:rsidRPr="00D17056">
          <w:rPr>
            <w:rStyle w:val="Hipervnculo"/>
            <w:noProof/>
          </w:rPr>
          <w:t>Documento de posición Academia relativo a Magallanes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_Toc509521993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3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3"/>
        <w:tabs>
          <w:tab w:val="left" w:pos="1100"/>
          <w:tab w:val="right" w:leader="dot" w:pos="9111"/>
        </w:tabs>
        <w:rPr>
          <w:noProof/>
        </w:rPr>
      </w:pPr>
      <w:hyperlink w:anchor="_Toc509521994" w:history="1">
        <w:r w:rsidR="006F6F63" w:rsidRPr="00D17056">
          <w:rPr>
            <w:rStyle w:val="Hipervnculo"/>
            <w:noProof/>
          </w:rPr>
          <w:t xml:space="preserve">4.2 </w:t>
        </w:r>
        <w:r w:rsidR="006F6F63">
          <w:rPr>
            <w:noProof/>
          </w:rPr>
          <w:tab/>
        </w:r>
        <w:r w:rsidR="006F6F63" w:rsidRPr="00D17056">
          <w:rPr>
            <w:rStyle w:val="Hipervnculo"/>
            <w:noProof/>
          </w:rPr>
          <w:t>Charla Dr. Miguel Ángel Sánchez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_Toc509521994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4</w:t>
        </w:r>
        <w:r w:rsidR="006F6F63">
          <w:rPr>
            <w:noProof/>
            <w:webHidden/>
          </w:rPr>
          <w:fldChar w:fldCharType="end"/>
        </w:r>
      </w:hyperlink>
    </w:p>
    <w:p w:rsidR="006F6F63" w:rsidRDefault="00D348AF">
      <w:pPr>
        <w:pStyle w:val="TDC1"/>
        <w:tabs>
          <w:tab w:val="right" w:leader="dot" w:pos="9111"/>
        </w:tabs>
        <w:rPr>
          <w:noProof/>
        </w:rPr>
      </w:pPr>
      <w:hyperlink w:anchor="_Toc509521995" w:history="1">
        <w:r w:rsidR="006F6F63" w:rsidRPr="00D17056">
          <w:rPr>
            <w:rStyle w:val="Hipervnculo"/>
            <w:noProof/>
          </w:rPr>
          <w:t>ANEXO 1: INFORME FINANCIERO AL 15 DE MARZO, 2018</w:t>
        </w:r>
        <w:r w:rsidR="006F6F63">
          <w:rPr>
            <w:noProof/>
            <w:webHidden/>
          </w:rPr>
          <w:tab/>
        </w:r>
        <w:r w:rsidR="006F6F63">
          <w:rPr>
            <w:noProof/>
            <w:webHidden/>
          </w:rPr>
          <w:fldChar w:fldCharType="begin"/>
        </w:r>
        <w:r w:rsidR="006F6F63">
          <w:rPr>
            <w:noProof/>
            <w:webHidden/>
          </w:rPr>
          <w:instrText xml:space="preserve"> PAGEREF _Toc509521995 \h </w:instrText>
        </w:r>
        <w:r w:rsidR="006F6F63">
          <w:rPr>
            <w:noProof/>
            <w:webHidden/>
          </w:rPr>
        </w:r>
        <w:r w:rsidR="006F6F63">
          <w:rPr>
            <w:noProof/>
            <w:webHidden/>
          </w:rPr>
          <w:fldChar w:fldCharType="separate"/>
        </w:r>
        <w:r w:rsidR="006F6F63">
          <w:rPr>
            <w:noProof/>
            <w:webHidden/>
          </w:rPr>
          <w:t>5</w:t>
        </w:r>
        <w:r w:rsidR="006F6F63">
          <w:rPr>
            <w:noProof/>
            <w:webHidden/>
          </w:rPr>
          <w:fldChar w:fldCharType="end"/>
        </w:r>
      </w:hyperlink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C801F9" w:rsidRDefault="00C801F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97665" w:rsidRPr="00176363" w:rsidRDefault="00176363" w:rsidP="00316FFB">
      <w:pPr>
        <w:pStyle w:val="Ttulo1"/>
        <w:spacing w:before="120" w:after="120" w:line="240" w:lineRule="auto"/>
        <w:rPr>
          <w:sz w:val="22"/>
          <w:szCs w:val="22"/>
        </w:rPr>
      </w:pPr>
      <w:bookmarkStart w:id="1" w:name="_Toc509521985"/>
      <w:r>
        <w:t>ASISTENCIA</w:t>
      </w:r>
      <w:bookmarkEnd w:id="1"/>
    </w:p>
    <w:p w:rsidR="001E75F5" w:rsidRDefault="002223C5" w:rsidP="001E75F5">
      <w:pPr>
        <w:spacing w:after="120" w:line="240" w:lineRule="auto"/>
        <w:rPr>
          <w:rFonts w:ascii="Verdana" w:eastAsia="Times New Roman" w:hAnsi="Verdana"/>
          <w:bCs/>
        </w:rPr>
      </w:pPr>
      <w:r w:rsidRPr="00265CEE">
        <w:rPr>
          <w:rFonts w:ascii="Verdana" w:eastAsia="Times New Roman" w:hAnsi="Verdana"/>
          <w:b/>
          <w:bCs/>
          <w:u w:val="single"/>
        </w:rPr>
        <w:t>Asisten</w:t>
      </w:r>
      <w:r>
        <w:rPr>
          <w:rFonts w:ascii="Verdana" w:eastAsia="Times New Roman" w:hAnsi="Verdana"/>
          <w:bCs/>
        </w:rPr>
        <w:t xml:space="preserve">: </w:t>
      </w:r>
      <w:r w:rsidRPr="00176363">
        <w:rPr>
          <w:rFonts w:ascii="Verdana" w:eastAsia="Times New Roman" w:hAnsi="Verdana"/>
          <w:bCs/>
        </w:rPr>
        <w:t>Edmundo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Acevedo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Francisco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Brzovic</w:t>
      </w:r>
      <w:r>
        <w:rPr>
          <w:rFonts w:ascii="Verdana" w:eastAsia="Times New Roman" w:hAnsi="Verdana"/>
          <w:bCs/>
        </w:rPr>
        <w:t xml:space="preserve">, Claudio Cafati, </w:t>
      </w:r>
      <w:r w:rsidRPr="00176363">
        <w:rPr>
          <w:rFonts w:ascii="Verdana" w:eastAsia="Times New Roman" w:hAnsi="Verdana"/>
          <w:bCs/>
        </w:rPr>
        <w:t>Alberto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Cubillos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Felip</w:t>
      </w:r>
      <w:r>
        <w:rPr>
          <w:rFonts w:ascii="Verdana" w:eastAsia="Times New Roman" w:hAnsi="Verdana"/>
          <w:bCs/>
        </w:rPr>
        <w:t xml:space="preserve">e </w:t>
      </w:r>
      <w:r w:rsidRPr="00176363">
        <w:rPr>
          <w:rFonts w:ascii="Verdana" w:eastAsia="Times New Roman" w:hAnsi="Verdana"/>
          <w:bCs/>
        </w:rPr>
        <w:t>de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Solm</w:t>
      </w:r>
      <w:r>
        <w:rPr>
          <w:rFonts w:ascii="Verdana" w:eastAsia="Times New Roman" w:hAnsi="Verdana"/>
          <w:bCs/>
        </w:rPr>
        <w:t>i</w:t>
      </w:r>
      <w:r w:rsidRPr="00176363">
        <w:rPr>
          <w:rFonts w:ascii="Verdana" w:eastAsia="Times New Roman" w:hAnsi="Verdana"/>
          <w:bCs/>
        </w:rPr>
        <w:t>n</w:t>
      </w:r>
      <w:r>
        <w:rPr>
          <w:rFonts w:ascii="Verdana" w:eastAsia="Times New Roman" w:hAnsi="Verdana"/>
          <w:bCs/>
        </w:rPr>
        <w:t>ih</w:t>
      </w:r>
      <w:r w:rsidRPr="00176363">
        <w:rPr>
          <w:rFonts w:ascii="Verdana" w:eastAsia="Times New Roman" w:hAnsi="Verdana"/>
          <w:bCs/>
        </w:rPr>
        <w:t>ac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Nícolo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Gligo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Bernardo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Latorre</w:t>
      </w:r>
      <w:r>
        <w:rPr>
          <w:rFonts w:ascii="Verdana" w:eastAsia="Times New Roman" w:hAnsi="Verdana"/>
          <w:bCs/>
        </w:rPr>
        <w:t>, Luis Antonio Lisana, O</w:t>
      </w:r>
      <w:r w:rsidRPr="00176363">
        <w:rPr>
          <w:rFonts w:ascii="Verdana" w:eastAsia="Times New Roman" w:hAnsi="Verdana"/>
          <w:bCs/>
        </w:rPr>
        <w:t>rlando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Morales</w:t>
      </w:r>
      <w:r>
        <w:rPr>
          <w:rFonts w:ascii="Verdana" w:eastAsia="Times New Roman" w:hAnsi="Verdana"/>
          <w:bCs/>
        </w:rPr>
        <w:t xml:space="preserve">, Rafael Novoa, </w:t>
      </w:r>
      <w:r w:rsidRPr="00176363">
        <w:rPr>
          <w:rFonts w:ascii="Verdana" w:eastAsia="Times New Roman" w:hAnsi="Verdana"/>
          <w:bCs/>
        </w:rPr>
        <w:t>Alejandro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Violic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Claudio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Wernli</w:t>
      </w:r>
      <w:r>
        <w:rPr>
          <w:rFonts w:ascii="Verdana" w:eastAsia="Times New Roman" w:hAnsi="Verdana"/>
          <w:bCs/>
        </w:rPr>
        <w:t xml:space="preserve"> y José Antonio Yuri.</w:t>
      </w:r>
    </w:p>
    <w:p w:rsidR="00176363" w:rsidRPr="00176363" w:rsidRDefault="001E75F5" w:rsidP="00265CEE">
      <w:pPr>
        <w:spacing w:after="120" w:line="240" w:lineRule="auto"/>
        <w:rPr>
          <w:rFonts w:ascii="Verdana" w:eastAsia="Times New Roman" w:hAnsi="Verdana"/>
          <w:bCs/>
        </w:rPr>
      </w:pPr>
      <w:r w:rsidRPr="00265CEE">
        <w:rPr>
          <w:rFonts w:ascii="Verdana" w:eastAsia="Times New Roman" w:hAnsi="Verdana"/>
          <w:b/>
          <w:bCs/>
          <w:u w:val="single"/>
        </w:rPr>
        <w:t>Se</w:t>
      </w:r>
      <w:r w:rsidR="002223C5">
        <w:rPr>
          <w:rFonts w:ascii="Verdana" w:eastAsia="Times New Roman" w:hAnsi="Verdana"/>
          <w:b/>
          <w:bCs/>
          <w:u w:val="single"/>
        </w:rPr>
        <w:t xml:space="preserve"> </w:t>
      </w:r>
      <w:r w:rsidRPr="00265CEE">
        <w:rPr>
          <w:rFonts w:ascii="Verdana" w:eastAsia="Times New Roman" w:hAnsi="Verdana"/>
          <w:b/>
          <w:bCs/>
          <w:u w:val="single"/>
        </w:rPr>
        <w:t>excusan</w:t>
      </w:r>
      <w:r>
        <w:rPr>
          <w:rFonts w:ascii="Verdana" w:eastAsia="Times New Roman" w:hAnsi="Verdana"/>
          <w:bCs/>
        </w:rPr>
        <w:t>:</w:t>
      </w:r>
      <w:r w:rsidR="002223C5">
        <w:rPr>
          <w:rFonts w:ascii="Verdana" w:eastAsia="Times New Roman" w:hAnsi="Verdana"/>
          <w:bCs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Edmundo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Bordeu</w:t>
      </w:r>
      <w:r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Peter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Douglas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Caligari</w:t>
      </w:r>
      <w:r w:rsidR="00132C53"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Raúl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Cañas</w:t>
      </w:r>
      <w:r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Rolando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C</w:t>
      </w:r>
      <w:r w:rsidR="00132C53">
        <w:rPr>
          <w:rFonts w:ascii="Verdana" w:eastAsia="Times New Roman" w:hAnsi="Verdana" w:cs="Arial"/>
          <w:lang w:eastAsia="es-CL"/>
        </w:rPr>
        <w:t>h</w:t>
      </w:r>
      <w:r w:rsidR="00132C53" w:rsidRPr="00D73415">
        <w:rPr>
          <w:rFonts w:ascii="Verdana" w:eastAsia="Times New Roman" w:hAnsi="Verdana" w:cs="Arial"/>
          <w:lang w:eastAsia="es-CL"/>
        </w:rPr>
        <w:t>ateauneuf</w:t>
      </w:r>
      <w:r w:rsidR="00132C53"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Juan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Ignacio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Domínguez</w:t>
      </w:r>
      <w:r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Leví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Mansur</w:t>
      </w:r>
      <w:r w:rsidR="00132C53"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Gloria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Montenegro</w:t>
      </w:r>
      <w:r w:rsidR="00132C53"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Philippo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Pszczolkowski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>
        <w:rPr>
          <w:rFonts w:ascii="Verdana" w:eastAsia="Times New Roman" w:hAnsi="Verdana" w:cs="Arial"/>
          <w:lang w:eastAsia="es-CL"/>
        </w:rPr>
        <w:t>y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Pedro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Undurraga</w:t>
      </w:r>
      <w:r w:rsidR="00132C53">
        <w:rPr>
          <w:rFonts w:ascii="Verdana" w:eastAsia="Times New Roman" w:hAnsi="Verdana" w:cs="Arial"/>
          <w:lang w:eastAsia="es-CL"/>
        </w:rPr>
        <w:t>.</w:t>
      </w:r>
    </w:p>
    <w:p w:rsidR="007862DE" w:rsidRPr="00176363" w:rsidRDefault="008C1A54" w:rsidP="00265CEE">
      <w:pPr>
        <w:pStyle w:val="Ttulo1"/>
        <w:spacing w:before="240" w:after="120" w:line="240" w:lineRule="auto"/>
      </w:pPr>
      <w:bookmarkStart w:id="2" w:name="_Toc509521986"/>
      <w:r w:rsidRPr="00176363">
        <w:t>TABLA</w:t>
      </w:r>
      <w:bookmarkEnd w:id="2"/>
    </w:p>
    <w:p w:rsidR="00132C53" w:rsidRPr="00132C53" w:rsidRDefault="00132C53" w:rsidP="00132C53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</w:rPr>
        <w:t>1.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Lectura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y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aprobación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del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acta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anterior.</w:t>
      </w:r>
    </w:p>
    <w:p w:rsidR="00132C53" w:rsidRPr="00132C53" w:rsidRDefault="00132C53" w:rsidP="00132C53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132C53">
        <w:rPr>
          <w:rFonts w:ascii="Verdana" w:hAnsi="Verdana" w:cs="Calibri"/>
          <w:color w:val="000000"/>
        </w:rPr>
        <w:t>2.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Informe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de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Tesorería.</w:t>
      </w:r>
    </w:p>
    <w:p w:rsidR="00132C53" w:rsidRPr="00132C53" w:rsidRDefault="00132C53" w:rsidP="00132C53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</w:rPr>
        <w:t>3.</w:t>
      </w:r>
      <w:r w:rsidR="002223C5">
        <w:rPr>
          <w:rFonts w:ascii="Verdana" w:hAnsi="Verdana" w:cs="Calibri"/>
          <w:color w:val="000000"/>
        </w:rPr>
        <w:t xml:space="preserve"> </w:t>
      </w:r>
      <w:r w:rsidR="00265CEE">
        <w:rPr>
          <w:rFonts w:ascii="Verdana" w:hAnsi="Verdana" w:cs="Calibri"/>
          <w:color w:val="000000"/>
        </w:rPr>
        <w:t>Definiciones</w:t>
      </w:r>
      <w:r w:rsidR="002223C5">
        <w:rPr>
          <w:rFonts w:ascii="Verdana" w:hAnsi="Verdana" w:cs="Calibri"/>
          <w:color w:val="000000"/>
        </w:rPr>
        <w:t xml:space="preserve"> </w:t>
      </w:r>
      <w:r w:rsidR="00265CEE">
        <w:rPr>
          <w:rFonts w:ascii="Verdana" w:hAnsi="Verdana" w:cs="Calibri"/>
          <w:color w:val="000000"/>
        </w:rPr>
        <w:t>para</w:t>
      </w:r>
      <w:r w:rsidR="002223C5">
        <w:rPr>
          <w:rFonts w:ascii="Verdana" w:hAnsi="Verdana" w:cs="Calibri"/>
          <w:color w:val="000000"/>
        </w:rPr>
        <w:t xml:space="preserve"> </w:t>
      </w:r>
      <w:r w:rsidR="00265CEE">
        <w:rPr>
          <w:rFonts w:ascii="Verdana" w:hAnsi="Verdana" w:cs="Calibri"/>
          <w:color w:val="000000"/>
        </w:rPr>
        <w:t>el</w:t>
      </w:r>
      <w:r w:rsidR="002223C5">
        <w:rPr>
          <w:rFonts w:ascii="Verdana" w:hAnsi="Verdana" w:cs="Calibri"/>
          <w:color w:val="000000"/>
        </w:rPr>
        <w:t xml:space="preserve"> </w:t>
      </w:r>
      <w:r w:rsidR="00265CEE">
        <w:rPr>
          <w:rFonts w:ascii="Verdana" w:hAnsi="Verdana" w:cs="Calibri"/>
          <w:color w:val="000000"/>
        </w:rPr>
        <w:t>próximo</w:t>
      </w:r>
      <w:r w:rsidR="002223C5">
        <w:rPr>
          <w:rFonts w:ascii="Verdana" w:hAnsi="Verdana" w:cs="Calibri"/>
          <w:color w:val="000000"/>
        </w:rPr>
        <w:t xml:space="preserve"> </w:t>
      </w:r>
      <w:r w:rsidR="00265CEE">
        <w:rPr>
          <w:rFonts w:ascii="Verdana" w:hAnsi="Verdana" w:cs="Calibri"/>
          <w:color w:val="000000"/>
        </w:rPr>
        <w:t>s</w:t>
      </w:r>
      <w:r w:rsidRPr="00132C53">
        <w:rPr>
          <w:rFonts w:ascii="Verdana" w:hAnsi="Verdana" w:cs="Calibri"/>
          <w:color w:val="000000"/>
        </w:rPr>
        <w:t>eminario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científico</w:t>
      </w:r>
      <w:r w:rsidR="002223C5">
        <w:rPr>
          <w:rFonts w:ascii="Verdana" w:hAnsi="Verdana" w:cs="Calibri"/>
          <w:color w:val="000000"/>
        </w:rPr>
        <w:t xml:space="preserve"> </w:t>
      </w:r>
    </w:p>
    <w:p w:rsidR="004D690D" w:rsidRDefault="00132C53" w:rsidP="004D690D">
      <w:pPr>
        <w:shd w:val="clear" w:color="auto" w:fill="FFFFFF"/>
        <w:spacing w:after="120"/>
        <w:ind w:left="-1"/>
        <w:rPr>
          <w:rFonts w:ascii="Verdana" w:hAnsi="Verdana" w:cs="Calibri"/>
          <w:color w:val="000000"/>
        </w:rPr>
      </w:pPr>
      <w:r w:rsidRPr="00132C53">
        <w:rPr>
          <w:rFonts w:ascii="Verdana" w:hAnsi="Verdana" w:cs="Calibri"/>
          <w:color w:val="000000"/>
        </w:rPr>
        <w:t>4.</w:t>
      </w:r>
      <w:r w:rsidR="002223C5">
        <w:rPr>
          <w:rFonts w:ascii="Verdana" w:hAnsi="Verdana" w:cs="Calibri"/>
          <w:color w:val="000000"/>
        </w:rPr>
        <w:t xml:space="preserve"> </w:t>
      </w:r>
      <w:r w:rsidRPr="00132C53">
        <w:rPr>
          <w:rFonts w:ascii="Verdana" w:hAnsi="Verdana" w:cs="Calibri"/>
          <w:color w:val="000000"/>
        </w:rPr>
        <w:t>Vario</w:t>
      </w:r>
      <w:r w:rsidR="004D690D">
        <w:rPr>
          <w:rFonts w:ascii="Verdana" w:hAnsi="Verdana" w:cs="Calibri"/>
          <w:color w:val="000000"/>
        </w:rPr>
        <w:t>s</w:t>
      </w:r>
    </w:p>
    <w:p w:rsidR="00F747B4" w:rsidRDefault="00F747B4" w:rsidP="00F747B4">
      <w:pPr>
        <w:pStyle w:val="Ttulo1"/>
        <w:spacing w:before="240" w:after="120" w:line="240" w:lineRule="auto"/>
      </w:pPr>
      <w:bookmarkStart w:id="3" w:name="_Toc509521987"/>
      <w:r>
        <w:t>ACUERDOS</w:t>
      </w:r>
      <w:r w:rsidR="002223C5">
        <w:t xml:space="preserve"> </w:t>
      </w:r>
      <w:r>
        <w:t>ALCANZADOS</w:t>
      </w:r>
      <w:bookmarkEnd w:id="3"/>
    </w:p>
    <w:p w:rsidR="00F747B4" w:rsidRDefault="00F747B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aprueba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acta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anterior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corregida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con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las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observaciones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realizadas.</w:t>
      </w:r>
    </w:p>
    <w:p w:rsidR="00F747B4" w:rsidRDefault="00F747B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aprueba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informe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del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Tesorero.</w:t>
      </w:r>
    </w:p>
    <w:p w:rsidR="00F747B4" w:rsidRDefault="002430C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aprueban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fases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y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cronograma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del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proceso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preparación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del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documento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posición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sobre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Magallanes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Academia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y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conformación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una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Comisión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Redactora.</w:t>
      </w:r>
    </w:p>
    <w:p w:rsidR="007862DE" w:rsidRPr="00176363" w:rsidRDefault="00F11A56" w:rsidP="00265CEE">
      <w:pPr>
        <w:pStyle w:val="Ttulo1"/>
        <w:spacing w:before="240" w:after="120" w:line="240" w:lineRule="auto"/>
      </w:pPr>
      <w:bookmarkStart w:id="4" w:name="_Toc509521988"/>
      <w:r w:rsidRPr="00176363">
        <w:t>DESARROLLO</w:t>
      </w:r>
      <w:bookmarkEnd w:id="4"/>
    </w:p>
    <w:p w:rsidR="004D690D" w:rsidRPr="004D690D" w:rsidRDefault="004D690D" w:rsidP="00316FFB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</w:pPr>
      <w:bookmarkStart w:id="5" w:name="_Toc509521989"/>
      <w:r w:rsidRPr="004D690D">
        <w:t>Minuto</w:t>
      </w:r>
      <w:r w:rsidR="002223C5">
        <w:t xml:space="preserve"> </w:t>
      </w:r>
      <w:r w:rsidRPr="004D690D">
        <w:t>de</w:t>
      </w:r>
      <w:r w:rsidR="002223C5">
        <w:t xml:space="preserve"> </w:t>
      </w:r>
      <w:r w:rsidRPr="004D690D">
        <w:t>silencio</w:t>
      </w:r>
      <w:bookmarkEnd w:id="5"/>
    </w:p>
    <w:p w:rsidR="004D690D" w:rsidRPr="004D690D" w:rsidRDefault="004D690D" w:rsidP="004D690D">
      <w:pPr>
        <w:rPr>
          <w:rFonts w:ascii="Verdana" w:hAnsi="Verdana"/>
        </w:rPr>
      </w:pPr>
      <w:r w:rsidRPr="004D690D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Presidente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solicita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un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minuto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silencio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memoria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académico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número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don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Sergio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Bonilla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fallecido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día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22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febrero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p</w:t>
      </w:r>
      <w:r w:rsidR="00A6005E">
        <w:rPr>
          <w:rFonts w:ascii="Verdana" w:hAnsi="Verdana"/>
        </w:rPr>
        <w:t>r</w:t>
      </w:r>
      <w:r w:rsidRPr="004D690D">
        <w:rPr>
          <w:rFonts w:ascii="Verdana" w:hAnsi="Verdana"/>
        </w:rPr>
        <w:t>esente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año.</w:t>
      </w:r>
    </w:p>
    <w:p w:rsidR="00D937A5" w:rsidRPr="00A43093" w:rsidRDefault="00D04556" w:rsidP="00316FFB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  <w:rPr>
          <w:sz w:val="22"/>
        </w:rPr>
      </w:pPr>
      <w:bookmarkStart w:id="6" w:name="_Toc509521990"/>
      <w:r w:rsidRPr="00A43093">
        <w:t>Lectura</w:t>
      </w:r>
      <w:r w:rsidR="002223C5">
        <w:t xml:space="preserve"> </w:t>
      </w:r>
      <w:r w:rsidR="00A43093">
        <w:t>y</w:t>
      </w:r>
      <w:r w:rsidR="002223C5">
        <w:t xml:space="preserve"> </w:t>
      </w:r>
      <w:r w:rsidR="00A43093">
        <w:t>seguimiento</w:t>
      </w:r>
      <w:r w:rsidR="002223C5">
        <w:t xml:space="preserve"> </w:t>
      </w:r>
      <w:r w:rsidRPr="00A43093">
        <w:t>del</w:t>
      </w:r>
      <w:r w:rsidR="002223C5">
        <w:t xml:space="preserve"> </w:t>
      </w:r>
      <w:r w:rsidRPr="00A43093">
        <w:t>acta</w:t>
      </w:r>
      <w:r w:rsidR="002223C5">
        <w:t xml:space="preserve"> </w:t>
      </w:r>
      <w:r w:rsidRPr="00A43093">
        <w:t>anterior.</w:t>
      </w:r>
      <w:bookmarkEnd w:id="6"/>
    </w:p>
    <w:p w:rsidR="00C91ADF" w:rsidRDefault="00D04556" w:rsidP="00F76B5A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Prosecretario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procede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lectura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anterior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realizada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19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diciembre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2017.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</w:t>
      </w:r>
      <w:r w:rsidR="00C91ADF">
        <w:rPr>
          <w:rFonts w:ascii="Verdana" w:hAnsi="Verdana"/>
          <w:szCs w:val="22"/>
        </w:rPr>
        <w:t>olo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realizaro</w:t>
      </w:r>
      <w:r w:rsidR="00A43093">
        <w:rPr>
          <w:rFonts w:ascii="Verdana" w:hAnsi="Verdana"/>
          <w:szCs w:val="22"/>
        </w:rPr>
        <w:t>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observaciones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a</w:t>
      </w:r>
      <w:r w:rsidR="00A6005E">
        <w:rPr>
          <w:rFonts w:ascii="Verdana" w:hAnsi="Verdana"/>
          <w:szCs w:val="22"/>
        </w:rPr>
        <w:t>l</w:t>
      </w:r>
      <w:r w:rsidR="002223C5">
        <w:rPr>
          <w:rFonts w:ascii="Verdana" w:hAnsi="Verdana"/>
          <w:szCs w:val="22"/>
        </w:rPr>
        <w:t xml:space="preserve"> </w:t>
      </w:r>
      <w:r w:rsidR="00F76B5A">
        <w:rPr>
          <w:rFonts w:ascii="Verdana" w:hAnsi="Verdana"/>
          <w:szCs w:val="22"/>
        </w:rPr>
        <w:t>No.</w:t>
      </w:r>
      <w:r w:rsidR="002223C5">
        <w:rPr>
          <w:rFonts w:ascii="Verdana" w:hAnsi="Verdana"/>
          <w:szCs w:val="22"/>
        </w:rPr>
        <w:t xml:space="preserve"> </w:t>
      </w:r>
      <w:r w:rsidR="00F76B5A">
        <w:rPr>
          <w:rFonts w:ascii="Verdana" w:hAnsi="Verdana"/>
          <w:szCs w:val="22"/>
        </w:rPr>
        <w:t>3</w:t>
      </w:r>
      <w:r w:rsidR="002223C5">
        <w:rPr>
          <w:rFonts w:ascii="Verdana" w:hAnsi="Verdana"/>
          <w:szCs w:val="22"/>
        </w:rPr>
        <w:t xml:space="preserve"> </w:t>
      </w:r>
      <w:r w:rsidR="00F76B5A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F76B5A">
        <w:rPr>
          <w:rFonts w:ascii="Verdana" w:hAnsi="Verdana"/>
          <w:szCs w:val="22"/>
        </w:rPr>
        <w:t>acta</w:t>
      </w:r>
      <w:r w:rsidR="002223C5">
        <w:rPr>
          <w:rFonts w:ascii="Verdana" w:hAnsi="Verdana"/>
          <w:szCs w:val="22"/>
        </w:rPr>
        <w:t xml:space="preserve"> </w:t>
      </w:r>
      <w:r w:rsidR="00F76B5A">
        <w:rPr>
          <w:rFonts w:ascii="Verdana" w:hAnsi="Verdana"/>
          <w:szCs w:val="22"/>
        </w:rPr>
        <w:t>anterior</w:t>
      </w:r>
    </w:p>
    <w:p w:rsidR="00F76B5A" w:rsidRDefault="00F76B5A" w:rsidP="00C91ADF">
      <w:pPr>
        <w:pStyle w:val="Textosinformato"/>
        <w:numPr>
          <w:ilvl w:val="0"/>
          <w:numId w:val="23"/>
        </w:numPr>
        <w:tabs>
          <w:tab w:val="left" w:pos="284"/>
        </w:tabs>
        <w:spacing w:after="120"/>
        <w:ind w:left="0" w:firstLine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objeta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texto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tercer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párrafo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relativo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entrega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Premio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Trayectoria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otorgado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Juan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Izquierdo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realizara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19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diciembre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2017</w:t>
      </w:r>
      <w:r>
        <w:rPr>
          <w:rFonts w:ascii="Verdana" w:hAnsi="Verdana"/>
          <w:szCs w:val="22"/>
        </w:rPr>
        <w:t>.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Concretamente,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plantea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fundamentos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justificaron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premio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están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equivocados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cuanto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premio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otorga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precisamente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trayectoria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académico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no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su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lo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demás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reconocido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liderazgo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dedicación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 w:rsidR="00A1464D">
        <w:rPr>
          <w:rFonts w:ascii="Verdana" w:hAnsi="Verdana"/>
          <w:szCs w:val="22"/>
        </w:rPr>
        <w:t>emprendimientos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C91ADF">
        <w:rPr>
          <w:rFonts w:ascii="Verdana" w:hAnsi="Verdana"/>
          <w:szCs w:val="22"/>
        </w:rPr>
        <w:t>Academia.</w:t>
      </w:r>
    </w:p>
    <w:p w:rsidR="00C91ADF" w:rsidRDefault="00C91ADF" w:rsidP="00C91ADF">
      <w:pPr>
        <w:pStyle w:val="Textosinformato"/>
        <w:numPr>
          <w:ilvl w:val="0"/>
          <w:numId w:val="23"/>
        </w:numPr>
        <w:tabs>
          <w:tab w:val="left" w:pos="284"/>
        </w:tabs>
        <w:spacing w:after="120"/>
        <w:ind w:left="0" w:firstLine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 w:rsidR="00A43093">
        <w:rPr>
          <w:rFonts w:ascii="Verdana" w:hAnsi="Verdana"/>
          <w:szCs w:val="22"/>
        </w:rPr>
        <w:t>objeta</w:t>
      </w:r>
      <w:r w:rsidR="002223C5">
        <w:rPr>
          <w:rFonts w:ascii="Verdana" w:hAnsi="Verdana"/>
          <w:szCs w:val="22"/>
        </w:rPr>
        <w:t xml:space="preserve"> </w:t>
      </w:r>
      <w:r w:rsidR="00A43093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corrige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expresión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“página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web”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reemplaza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“sitio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web”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sería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expresión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adecuada.</w:t>
      </w:r>
    </w:p>
    <w:p w:rsidR="00A43093" w:rsidRDefault="00A43093" w:rsidP="00A43093">
      <w:pPr>
        <w:pStyle w:val="Textosinformato"/>
        <w:tabs>
          <w:tab w:val="left" w:pos="284"/>
        </w:tabs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correcciones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anteriores,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aprueba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19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diciembre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2017.</w:t>
      </w:r>
    </w:p>
    <w:p w:rsidR="00265CEE" w:rsidRDefault="00265CEE" w:rsidP="00265CEE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</w:pPr>
      <w:bookmarkStart w:id="7" w:name="_Toc509521991"/>
      <w:r>
        <w:t>Informe</w:t>
      </w:r>
      <w:r w:rsidR="002223C5">
        <w:t xml:space="preserve"> </w:t>
      </w:r>
      <w:r>
        <w:t>de</w:t>
      </w:r>
      <w:r w:rsidR="002223C5">
        <w:t xml:space="preserve"> </w:t>
      </w:r>
      <w:r>
        <w:t>tesorería</w:t>
      </w:r>
      <w:bookmarkEnd w:id="7"/>
    </w:p>
    <w:p w:rsidR="00265CEE" w:rsidRDefault="00265CEE" w:rsidP="00265CEE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Tesorero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informa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fecha,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15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marzo,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balance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arroja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un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saldo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negativo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$18.265.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Como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anexo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1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esta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presenta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un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resumen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3C1C70">
        <w:rPr>
          <w:rFonts w:ascii="Verdana" w:hAnsi="Verdana"/>
          <w:szCs w:val="22"/>
        </w:rPr>
        <w:t>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estado</w:t>
      </w:r>
      <w:r w:rsidR="002223C5">
        <w:rPr>
          <w:rFonts w:ascii="Verdana" w:hAnsi="Verdana"/>
          <w:szCs w:val="22"/>
        </w:rPr>
        <w:t xml:space="preserve"> </w:t>
      </w:r>
      <w:r w:rsidR="003C1C70">
        <w:rPr>
          <w:rFonts w:ascii="Verdana" w:hAnsi="Verdana"/>
          <w:szCs w:val="22"/>
        </w:rPr>
        <w:t>financiero</w:t>
      </w:r>
      <w:r w:rsidR="002223C5">
        <w:rPr>
          <w:rFonts w:ascii="Verdana" w:hAnsi="Verdana"/>
          <w:szCs w:val="22"/>
        </w:rPr>
        <w:t xml:space="preserve"> </w:t>
      </w:r>
      <w:r w:rsidR="003C1C70"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 w:rsidR="003C1C70">
        <w:rPr>
          <w:rFonts w:ascii="Verdana" w:hAnsi="Verdana"/>
          <w:szCs w:val="22"/>
        </w:rPr>
        <w:t>incorpora</w:t>
      </w:r>
      <w:r w:rsidR="002223C5">
        <w:rPr>
          <w:rFonts w:ascii="Verdana" w:hAnsi="Verdana"/>
          <w:szCs w:val="22"/>
        </w:rPr>
        <w:t xml:space="preserve"> </w:t>
      </w:r>
      <w:r w:rsidR="003C1C70">
        <w:rPr>
          <w:rFonts w:ascii="Verdana" w:hAnsi="Verdana"/>
          <w:szCs w:val="22"/>
        </w:rPr>
        <w:t>información</w:t>
      </w:r>
      <w:r w:rsidR="002223C5">
        <w:rPr>
          <w:rFonts w:ascii="Verdana" w:hAnsi="Verdana"/>
          <w:szCs w:val="22"/>
        </w:rPr>
        <w:t xml:space="preserve"> </w:t>
      </w:r>
      <w:r w:rsidR="003C1C70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gastos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incurridos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ocasión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seminario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Magallan</w:t>
      </w:r>
      <w:r w:rsidR="009428E7">
        <w:rPr>
          <w:rFonts w:ascii="Verdana" w:hAnsi="Verdana"/>
          <w:szCs w:val="22"/>
        </w:rPr>
        <w:t>es</w:t>
      </w:r>
      <w:r w:rsidR="002223C5">
        <w:rPr>
          <w:rFonts w:ascii="Verdana" w:hAnsi="Verdana"/>
          <w:szCs w:val="22"/>
        </w:rPr>
        <w:t xml:space="preserve"> </w:t>
      </w:r>
      <w:r w:rsidR="009428E7">
        <w:rPr>
          <w:rFonts w:ascii="Verdana" w:hAnsi="Verdana"/>
          <w:szCs w:val="22"/>
        </w:rPr>
        <w:t>(diciembre</w:t>
      </w:r>
      <w:r w:rsidR="002223C5">
        <w:rPr>
          <w:rFonts w:ascii="Verdana" w:hAnsi="Verdana"/>
          <w:szCs w:val="22"/>
        </w:rPr>
        <w:t xml:space="preserve"> </w:t>
      </w:r>
      <w:r w:rsidR="009428E7">
        <w:rPr>
          <w:rFonts w:ascii="Verdana" w:hAnsi="Verdana"/>
          <w:szCs w:val="22"/>
        </w:rPr>
        <w:t>2017),</w:t>
      </w:r>
      <w:r w:rsidR="002223C5">
        <w:rPr>
          <w:rFonts w:ascii="Verdana" w:hAnsi="Verdana"/>
          <w:szCs w:val="22"/>
        </w:rPr>
        <w:t xml:space="preserve"> </w:t>
      </w:r>
      <w:r w:rsidR="009428E7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9428E7">
        <w:rPr>
          <w:rFonts w:ascii="Verdana" w:hAnsi="Verdana"/>
          <w:szCs w:val="22"/>
        </w:rPr>
        <w:t>detalle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pagos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pendientes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fecha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un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balance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mensual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primer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cuatrimestre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año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(enero-marzo).</w:t>
      </w:r>
    </w:p>
    <w:p w:rsidR="00265CEE" w:rsidRDefault="00265CEE" w:rsidP="00265CEE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Tesorero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informa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inició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proceso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preparación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balance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contable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Academia.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reunió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contadora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convinieron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sus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honorarios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ascendería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$200.000.</w:t>
      </w:r>
    </w:p>
    <w:p w:rsidR="00F747B4" w:rsidRDefault="00F747B4" w:rsidP="00265CEE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hay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observaciones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informe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Tesorero.</w:t>
      </w:r>
    </w:p>
    <w:p w:rsidR="001212EC" w:rsidRDefault="0097726D" w:rsidP="001212EC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Presidente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expresa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su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preocupación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relación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financiamiento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actividades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Academia,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particularmente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seminarios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científicos.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Con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relación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al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próximo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seminario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científico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Directorio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aprobó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su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realización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Talca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diciembre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año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curso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idea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explorar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posibilidad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financiamiento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través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FIA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contribución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empresas</w:t>
      </w:r>
      <w:r w:rsidR="002223C5">
        <w:rPr>
          <w:rFonts w:ascii="Verdana" w:hAnsi="Verdana"/>
          <w:szCs w:val="22"/>
        </w:rPr>
        <w:t xml:space="preserve"> </w:t>
      </w:r>
      <w:r w:rsidR="001212EC">
        <w:rPr>
          <w:rFonts w:ascii="Verdana" w:hAnsi="Verdana"/>
          <w:szCs w:val="22"/>
        </w:rPr>
        <w:t>interesadas.</w:t>
      </w:r>
    </w:p>
    <w:p w:rsidR="00314B7B" w:rsidRPr="00A43093" w:rsidRDefault="00A43093" w:rsidP="001212EC">
      <w:pPr>
        <w:pStyle w:val="Ttulo2"/>
        <w:numPr>
          <w:ilvl w:val="0"/>
          <w:numId w:val="25"/>
        </w:numPr>
        <w:spacing w:before="120" w:line="240" w:lineRule="auto"/>
        <w:ind w:left="357" w:hanging="357"/>
      </w:pPr>
      <w:bookmarkStart w:id="8" w:name="_Toc509521992"/>
      <w:r w:rsidRPr="00A43093">
        <w:t>Varios</w:t>
      </w:r>
      <w:r>
        <w:t>.</w:t>
      </w:r>
      <w:bookmarkEnd w:id="8"/>
    </w:p>
    <w:p w:rsidR="002F097B" w:rsidRPr="00FB5936" w:rsidRDefault="00FB5936" w:rsidP="00A40702">
      <w:pPr>
        <w:pStyle w:val="Ttulo3"/>
        <w:numPr>
          <w:ilvl w:val="1"/>
          <w:numId w:val="32"/>
        </w:numPr>
        <w:spacing w:before="0" w:line="240" w:lineRule="auto"/>
        <w:ind w:left="567" w:hanging="567"/>
        <w:rPr>
          <w:sz w:val="24"/>
          <w:szCs w:val="24"/>
        </w:rPr>
      </w:pPr>
      <w:bookmarkStart w:id="9" w:name="_Toc509521993"/>
      <w:r w:rsidRPr="00FB5936">
        <w:rPr>
          <w:sz w:val="24"/>
          <w:szCs w:val="24"/>
        </w:rPr>
        <w:t>Documento</w:t>
      </w:r>
      <w:r w:rsidR="002223C5">
        <w:rPr>
          <w:sz w:val="24"/>
          <w:szCs w:val="24"/>
        </w:rPr>
        <w:t xml:space="preserve"> </w:t>
      </w:r>
      <w:r w:rsidRPr="00FB5936">
        <w:rPr>
          <w:sz w:val="24"/>
          <w:szCs w:val="24"/>
        </w:rPr>
        <w:t>de</w:t>
      </w:r>
      <w:r w:rsidR="002223C5">
        <w:rPr>
          <w:sz w:val="24"/>
          <w:szCs w:val="24"/>
        </w:rPr>
        <w:t xml:space="preserve"> </w:t>
      </w:r>
      <w:r w:rsidRPr="00FB5936">
        <w:rPr>
          <w:sz w:val="24"/>
          <w:szCs w:val="24"/>
        </w:rPr>
        <w:t>posición</w:t>
      </w:r>
      <w:r w:rsidR="002223C5">
        <w:rPr>
          <w:sz w:val="24"/>
          <w:szCs w:val="24"/>
        </w:rPr>
        <w:t xml:space="preserve"> </w:t>
      </w:r>
      <w:r w:rsidRPr="00FB5936">
        <w:rPr>
          <w:sz w:val="24"/>
          <w:szCs w:val="24"/>
        </w:rPr>
        <w:t>Academia</w:t>
      </w:r>
      <w:r w:rsidR="002223C5">
        <w:rPr>
          <w:sz w:val="24"/>
          <w:szCs w:val="24"/>
        </w:rPr>
        <w:t xml:space="preserve"> </w:t>
      </w:r>
      <w:r>
        <w:rPr>
          <w:sz w:val="24"/>
          <w:szCs w:val="24"/>
        </w:rPr>
        <w:t>relativo</w:t>
      </w:r>
      <w:r w:rsidR="002223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223C5">
        <w:rPr>
          <w:sz w:val="24"/>
          <w:szCs w:val="24"/>
        </w:rPr>
        <w:t xml:space="preserve"> </w:t>
      </w:r>
      <w:r w:rsidRPr="00FB5936">
        <w:rPr>
          <w:sz w:val="24"/>
          <w:szCs w:val="24"/>
        </w:rPr>
        <w:t>Magallanes</w:t>
      </w:r>
      <w:bookmarkEnd w:id="9"/>
    </w:p>
    <w:p w:rsidR="00EF4459" w:rsidRPr="00EF4459" w:rsidRDefault="00EF4459" w:rsidP="00EF4459">
      <w:pPr>
        <w:pStyle w:val="Textosinformato"/>
        <w:rPr>
          <w:rFonts w:ascii="Verdana" w:hAnsi="Verdana"/>
          <w:szCs w:val="22"/>
          <w:u w:val="single"/>
        </w:rPr>
      </w:pPr>
      <w:r w:rsidRPr="00EF4459">
        <w:rPr>
          <w:rFonts w:ascii="Verdana" w:hAnsi="Verdana"/>
          <w:szCs w:val="22"/>
          <w:u w:val="single"/>
        </w:rPr>
        <w:t>Fases</w:t>
      </w:r>
      <w:r w:rsidR="002223C5">
        <w:rPr>
          <w:rFonts w:ascii="Verdana" w:hAnsi="Verdana"/>
          <w:szCs w:val="22"/>
          <w:u w:val="single"/>
        </w:rPr>
        <w:t xml:space="preserve"> </w:t>
      </w:r>
      <w:r w:rsidRPr="00EF4459">
        <w:rPr>
          <w:rFonts w:ascii="Verdana" w:hAnsi="Verdana"/>
          <w:szCs w:val="22"/>
          <w:u w:val="single"/>
        </w:rPr>
        <w:t>y</w:t>
      </w:r>
      <w:r w:rsidR="002223C5">
        <w:rPr>
          <w:rFonts w:ascii="Verdana" w:hAnsi="Verdana"/>
          <w:szCs w:val="22"/>
          <w:u w:val="single"/>
        </w:rPr>
        <w:t xml:space="preserve"> </w:t>
      </w:r>
      <w:r w:rsidRPr="00EF4459">
        <w:rPr>
          <w:rFonts w:ascii="Verdana" w:hAnsi="Verdana"/>
          <w:szCs w:val="22"/>
          <w:u w:val="single"/>
        </w:rPr>
        <w:t>cronograma</w:t>
      </w:r>
    </w:p>
    <w:p w:rsidR="00316FFB" w:rsidRDefault="00FB5936" w:rsidP="002F097B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trata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documento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Academia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debe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generar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partir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presentaciones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debates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torno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 w:rsidRPr="00FB5936">
        <w:rPr>
          <w:rFonts w:ascii="Verdana" w:hAnsi="Verdana"/>
          <w:szCs w:val="22"/>
        </w:rPr>
        <w:t>ecosistemas</w:t>
      </w:r>
      <w:r w:rsidR="002223C5">
        <w:rPr>
          <w:rFonts w:ascii="Verdana" w:hAnsi="Verdana"/>
          <w:szCs w:val="22"/>
        </w:rPr>
        <w:t xml:space="preserve"> </w:t>
      </w:r>
      <w:r w:rsidRPr="00FB5936">
        <w:rPr>
          <w:rFonts w:ascii="Verdana" w:hAnsi="Verdana"/>
          <w:szCs w:val="22"/>
        </w:rPr>
        <w:t>terrestres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sustentan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ganadería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M</w:t>
      </w:r>
      <w:r w:rsidRPr="00FB5936">
        <w:rPr>
          <w:rFonts w:ascii="Verdana" w:hAnsi="Verdana"/>
          <w:szCs w:val="22"/>
        </w:rPr>
        <w:t>agallanes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dieron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Seminario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Científico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realizado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Punta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Arenas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5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diciembre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2017.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tema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fue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presentado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Nícolo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Gligo,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Coordinador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Comisión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Organizadora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Seminario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quien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propuso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las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siguientes</w:t>
      </w:r>
      <w:r w:rsidR="002223C5">
        <w:rPr>
          <w:rFonts w:ascii="Verdana" w:hAnsi="Verdana"/>
          <w:szCs w:val="22"/>
        </w:rPr>
        <w:t xml:space="preserve"> </w:t>
      </w:r>
      <w:r w:rsidR="00A6005E">
        <w:rPr>
          <w:rFonts w:ascii="Verdana" w:hAnsi="Verdana"/>
          <w:szCs w:val="22"/>
        </w:rPr>
        <w:t>fases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cronograma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proceso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preparación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documento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0350F5">
        <w:rPr>
          <w:rFonts w:ascii="Verdana" w:hAnsi="Verdana"/>
          <w:szCs w:val="22"/>
        </w:rPr>
        <w:t>posición: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0350F5" w:rsidRPr="000350F5" w:rsidTr="00EF4459">
        <w:tc>
          <w:tcPr>
            <w:tcW w:w="2552" w:type="dxa"/>
          </w:tcPr>
          <w:p w:rsidR="000350F5" w:rsidRPr="000350F5" w:rsidRDefault="000350F5" w:rsidP="002F097B">
            <w:pPr>
              <w:pStyle w:val="Textosinformato"/>
              <w:spacing w:after="120"/>
              <w:rPr>
                <w:rFonts w:ascii="Verdana" w:hAnsi="Verdana"/>
                <w:b/>
                <w:szCs w:val="22"/>
              </w:rPr>
            </w:pPr>
            <w:r w:rsidRPr="000350F5">
              <w:rPr>
                <w:rFonts w:ascii="Verdana" w:hAnsi="Verdana"/>
                <w:b/>
                <w:szCs w:val="22"/>
              </w:rPr>
              <w:t>Período</w:t>
            </w:r>
          </w:p>
        </w:tc>
        <w:tc>
          <w:tcPr>
            <w:tcW w:w="3402" w:type="dxa"/>
          </w:tcPr>
          <w:p w:rsidR="000350F5" w:rsidRPr="000350F5" w:rsidRDefault="000350F5" w:rsidP="002F097B">
            <w:pPr>
              <w:pStyle w:val="Textosinformato"/>
              <w:spacing w:after="120"/>
              <w:rPr>
                <w:rFonts w:ascii="Verdana" w:hAnsi="Verdana"/>
                <w:b/>
                <w:szCs w:val="22"/>
              </w:rPr>
            </w:pPr>
            <w:r w:rsidRPr="000350F5">
              <w:rPr>
                <w:rFonts w:ascii="Verdana" w:hAnsi="Verdana"/>
                <w:b/>
                <w:szCs w:val="22"/>
              </w:rPr>
              <w:t>Tarea</w:t>
            </w:r>
          </w:p>
        </w:tc>
        <w:tc>
          <w:tcPr>
            <w:tcW w:w="3402" w:type="dxa"/>
          </w:tcPr>
          <w:p w:rsidR="000350F5" w:rsidRPr="000350F5" w:rsidRDefault="000350F5" w:rsidP="002F097B">
            <w:pPr>
              <w:pStyle w:val="Textosinformato"/>
              <w:spacing w:after="120"/>
              <w:rPr>
                <w:rFonts w:ascii="Verdana" w:hAnsi="Verdana"/>
                <w:b/>
                <w:szCs w:val="22"/>
              </w:rPr>
            </w:pPr>
            <w:r w:rsidRPr="000350F5">
              <w:rPr>
                <w:rFonts w:ascii="Verdana" w:hAnsi="Verdana"/>
                <w:b/>
                <w:szCs w:val="22"/>
              </w:rPr>
              <w:t>Responsabilidad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Formación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comisión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redactora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Directorio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marzo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–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abril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Desgrabación</w:t>
            </w:r>
            <w:r w:rsidR="00C62A9A">
              <w:rPr>
                <w:rStyle w:val="Refdenotaalpie"/>
                <w:rFonts w:ascii="Verdana" w:hAnsi="Verdana"/>
                <w:szCs w:val="22"/>
                <w:u w:val="single"/>
              </w:rPr>
              <w:footnoteReference w:id="1"/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Contrato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externo/Directorio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abril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–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mayo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Preparación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primer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borrador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Comisión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redactora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–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31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mayo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Preparación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primer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borrador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Comisión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redactora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1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–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junio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Perfeccionamiento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documento</w:t>
            </w:r>
          </w:p>
        </w:tc>
        <w:tc>
          <w:tcPr>
            <w:tcW w:w="3402" w:type="dxa"/>
          </w:tcPr>
          <w:p w:rsidR="000350F5" w:rsidRPr="00EF4459" w:rsidRDefault="000350F5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Directorio/Comisión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EF4459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15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–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30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junio</w:t>
            </w:r>
          </w:p>
        </w:tc>
        <w:tc>
          <w:tcPr>
            <w:tcW w:w="3402" w:type="dxa"/>
          </w:tcPr>
          <w:p w:rsidR="000350F5" w:rsidRPr="00EF4459" w:rsidRDefault="00EF4459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Redacción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definitiva</w:t>
            </w:r>
          </w:p>
        </w:tc>
        <w:tc>
          <w:tcPr>
            <w:tcW w:w="3402" w:type="dxa"/>
          </w:tcPr>
          <w:p w:rsidR="000350F5" w:rsidRPr="00EF4459" w:rsidRDefault="00EF4459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Comisión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redactora</w:t>
            </w:r>
          </w:p>
        </w:tc>
      </w:tr>
      <w:tr w:rsidR="000350F5" w:rsidRPr="00EF4459" w:rsidTr="00EF4459">
        <w:tc>
          <w:tcPr>
            <w:tcW w:w="2552" w:type="dxa"/>
          </w:tcPr>
          <w:p w:rsidR="000350F5" w:rsidRPr="00EF4459" w:rsidRDefault="00EF4459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30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junio</w:t>
            </w:r>
          </w:p>
        </w:tc>
        <w:tc>
          <w:tcPr>
            <w:tcW w:w="3402" w:type="dxa"/>
          </w:tcPr>
          <w:p w:rsidR="000350F5" w:rsidRPr="00EF4459" w:rsidRDefault="00EF4459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Aprobación</w:t>
            </w:r>
            <w:r w:rsidR="002223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4459">
              <w:rPr>
                <w:rFonts w:ascii="Verdana" w:hAnsi="Verdana"/>
                <w:sz w:val="20"/>
                <w:szCs w:val="20"/>
              </w:rPr>
              <w:t>documento</w:t>
            </w:r>
          </w:p>
        </w:tc>
        <w:tc>
          <w:tcPr>
            <w:tcW w:w="3402" w:type="dxa"/>
          </w:tcPr>
          <w:p w:rsidR="000350F5" w:rsidRPr="00EF4459" w:rsidRDefault="00EF4459" w:rsidP="009E6553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EF4459">
              <w:rPr>
                <w:rFonts w:ascii="Verdana" w:hAnsi="Verdana"/>
                <w:sz w:val="20"/>
                <w:szCs w:val="20"/>
              </w:rPr>
              <w:t>Directorio</w:t>
            </w:r>
          </w:p>
        </w:tc>
      </w:tr>
    </w:tbl>
    <w:p w:rsidR="000350F5" w:rsidRDefault="00EF4459" w:rsidP="002F097B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asamblea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aprueba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fases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cronograma</w:t>
      </w:r>
      <w:r w:rsidR="002430C4">
        <w:rPr>
          <w:rFonts w:ascii="Verdana" w:hAnsi="Verdana"/>
          <w:szCs w:val="22"/>
        </w:rPr>
        <w:t>,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creación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una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Comisión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Redactora</w:t>
      </w:r>
      <w:r>
        <w:rPr>
          <w:rFonts w:ascii="Verdana" w:hAnsi="Verdana"/>
          <w:szCs w:val="22"/>
        </w:rPr>
        <w:t>.</w:t>
      </w:r>
    </w:p>
    <w:p w:rsidR="00EF4459" w:rsidRDefault="00EF4459" w:rsidP="00EF4459">
      <w:pPr>
        <w:pStyle w:val="Textosinformato"/>
        <w:rPr>
          <w:rFonts w:ascii="Verdana" w:hAnsi="Verdana"/>
          <w:szCs w:val="22"/>
          <w:u w:val="single"/>
        </w:rPr>
      </w:pPr>
      <w:r w:rsidRPr="00EF4459">
        <w:rPr>
          <w:rFonts w:ascii="Verdana" w:hAnsi="Verdana"/>
          <w:szCs w:val="22"/>
          <w:u w:val="single"/>
        </w:rPr>
        <w:t>Desgrabación</w:t>
      </w:r>
    </w:p>
    <w:p w:rsidR="002430C4" w:rsidRDefault="00E2528D" w:rsidP="00EF4459">
      <w:pPr>
        <w:pStyle w:val="Textosinforma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consideró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posibilidad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contratar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desgrabación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presentaciones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donde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fuese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necesario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así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como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comentarios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reacciones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paneles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debate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realizados</w:t>
      </w:r>
      <w:r w:rsidR="009E6553">
        <w:rPr>
          <w:rFonts w:ascii="Verdana" w:hAnsi="Verdana"/>
          <w:szCs w:val="22"/>
        </w:rPr>
        <w:t>;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costo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9E6553">
        <w:rPr>
          <w:rFonts w:ascii="Verdana" w:hAnsi="Verdana"/>
          <w:szCs w:val="22"/>
        </w:rPr>
        <w:t>desgrabación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elevaría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una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cifra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entre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$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30.000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$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50.000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hora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grabación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(Brzovic)</w:t>
      </w:r>
      <w:r w:rsidR="00F747B4">
        <w:rPr>
          <w:rFonts w:ascii="Verdana" w:hAnsi="Verdana"/>
          <w:szCs w:val="22"/>
        </w:rPr>
        <w:t>.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Como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alternativas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plantearon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utilización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algún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programa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(</w:t>
      </w:r>
      <w:r w:rsidR="00F747B4" w:rsidRPr="00F747B4">
        <w:rPr>
          <w:rFonts w:ascii="Verdana" w:hAnsi="Verdana"/>
          <w:szCs w:val="22"/>
        </w:rPr>
        <w:t>software</w:t>
      </w:r>
      <w:r w:rsidR="00F747B4">
        <w:rPr>
          <w:rFonts w:ascii="Verdana" w:hAnsi="Verdana"/>
          <w:szCs w:val="22"/>
        </w:rPr>
        <w:t>)</w:t>
      </w:r>
      <w:r w:rsidR="002223C5">
        <w:rPr>
          <w:rFonts w:ascii="Verdana" w:hAnsi="Verdana"/>
          <w:szCs w:val="22"/>
        </w:rPr>
        <w:t xml:space="preserve"> </w:t>
      </w:r>
      <w:r w:rsidR="00F747B4" w:rsidRPr="00F747B4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desgrabación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(Violic),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pero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nadie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pudo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identificar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un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programa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con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esta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capacidad,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posibilidad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presentadores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propia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comisión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asumieran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esta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actividad</w:t>
      </w:r>
      <w:r w:rsidR="002223C5">
        <w:rPr>
          <w:rFonts w:ascii="Verdana" w:hAnsi="Verdana"/>
          <w:szCs w:val="22"/>
        </w:rPr>
        <w:t xml:space="preserve"> </w:t>
      </w:r>
      <w:r w:rsidR="00F747B4">
        <w:rPr>
          <w:rFonts w:ascii="Verdana" w:hAnsi="Verdana"/>
          <w:szCs w:val="22"/>
        </w:rPr>
        <w:t>(Lisana).</w:t>
      </w:r>
      <w:r w:rsidR="002223C5">
        <w:rPr>
          <w:rFonts w:ascii="Verdana" w:hAnsi="Verdana"/>
          <w:szCs w:val="22"/>
        </w:rPr>
        <w:t xml:space="preserve"> </w:t>
      </w:r>
    </w:p>
    <w:p w:rsidR="002430C4" w:rsidRDefault="00F747B4" w:rsidP="002430C4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Luego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un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breve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debate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considerar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dificultad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financiar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un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consultor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externo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para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realizar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tarea,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asamblea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acordó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Comisión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Redactora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haga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cargo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desgrabación.</w:t>
      </w:r>
    </w:p>
    <w:p w:rsidR="00E2528D" w:rsidRPr="002430C4" w:rsidRDefault="002430C4" w:rsidP="00EF4459">
      <w:pPr>
        <w:pStyle w:val="Textosinformato"/>
        <w:rPr>
          <w:rFonts w:ascii="Verdana" w:hAnsi="Verdana"/>
          <w:szCs w:val="22"/>
          <w:u w:val="single"/>
        </w:rPr>
      </w:pPr>
      <w:r w:rsidRPr="002430C4">
        <w:rPr>
          <w:rFonts w:ascii="Verdana" w:hAnsi="Verdana"/>
          <w:szCs w:val="22"/>
          <w:u w:val="single"/>
        </w:rPr>
        <w:t>Conformación</w:t>
      </w:r>
      <w:r w:rsidR="002223C5">
        <w:rPr>
          <w:rFonts w:ascii="Verdana" w:hAnsi="Verdana"/>
          <w:szCs w:val="22"/>
          <w:u w:val="single"/>
        </w:rPr>
        <w:t xml:space="preserve"> </w:t>
      </w:r>
      <w:r w:rsidRPr="002430C4">
        <w:rPr>
          <w:rFonts w:ascii="Verdana" w:hAnsi="Verdana"/>
          <w:szCs w:val="22"/>
          <w:u w:val="single"/>
        </w:rPr>
        <w:t>Comisión</w:t>
      </w:r>
      <w:r w:rsidR="002223C5">
        <w:rPr>
          <w:rFonts w:ascii="Verdana" w:hAnsi="Verdana"/>
          <w:szCs w:val="22"/>
          <w:u w:val="single"/>
        </w:rPr>
        <w:t xml:space="preserve"> </w:t>
      </w:r>
      <w:r w:rsidRPr="002430C4">
        <w:rPr>
          <w:rFonts w:ascii="Verdana" w:hAnsi="Verdana"/>
          <w:szCs w:val="22"/>
          <w:u w:val="single"/>
        </w:rPr>
        <w:t>Redactora</w:t>
      </w:r>
    </w:p>
    <w:p w:rsidR="002430C4" w:rsidRDefault="00EF4459" w:rsidP="002430C4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</w:t>
      </w:r>
      <w:r w:rsidR="002430C4">
        <w:rPr>
          <w:rFonts w:ascii="Verdana" w:hAnsi="Verdana"/>
          <w:szCs w:val="22"/>
        </w:rPr>
        <w:t>l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Coordinador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propone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C</w:t>
      </w:r>
      <w:r>
        <w:rPr>
          <w:rFonts w:ascii="Verdana" w:hAnsi="Verdana"/>
          <w:szCs w:val="22"/>
        </w:rPr>
        <w:t>omisi</w:t>
      </w:r>
      <w:r w:rsidR="002430C4">
        <w:rPr>
          <w:rFonts w:ascii="Verdana" w:hAnsi="Verdana"/>
          <w:szCs w:val="22"/>
        </w:rPr>
        <w:t>ón</w:t>
      </w:r>
      <w:r w:rsidR="002223C5">
        <w:rPr>
          <w:rFonts w:ascii="Verdana" w:hAnsi="Verdana"/>
          <w:szCs w:val="22"/>
        </w:rPr>
        <w:t xml:space="preserve"> </w:t>
      </w:r>
      <w:r w:rsidR="002430C4">
        <w:rPr>
          <w:rFonts w:ascii="Verdana" w:hAnsi="Verdana"/>
          <w:szCs w:val="22"/>
        </w:rPr>
        <w:t>R</w:t>
      </w:r>
      <w:r>
        <w:rPr>
          <w:rFonts w:ascii="Verdana" w:hAnsi="Verdana"/>
          <w:szCs w:val="22"/>
        </w:rPr>
        <w:t>edactora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integrada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por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siguientes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miembros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academia,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mayoría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los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cuales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realizaron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presentaciones,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saber: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Francisco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Brzovic,</w:t>
      </w:r>
      <w:r w:rsidR="002223C5">
        <w:rPr>
          <w:rFonts w:ascii="Verdana" w:hAnsi="Verdana"/>
          <w:szCs w:val="22"/>
        </w:rPr>
        <w:t xml:space="preserve"> </w:t>
      </w:r>
      <w:r w:rsidR="00E2528D" w:rsidRPr="00E2528D">
        <w:rPr>
          <w:rFonts w:ascii="Verdana" w:hAnsi="Verdana"/>
          <w:szCs w:val="22"/>
        </w:rPr>
        <w:t>Nilo</w:t>
      </w:r>
      <w:r w:rsidR="002223C5">
        <w:rPr>
          <w:rFonts w:ascii="Verdana" w:hAnsi="Verdana"/>
          <w:szCs w:val="22"/>
        </w:rPr>
        <w:t xml:space="preserve"> </w:t>
      </w:r>
      <w:r w:rsidR="00E2528D" w:rsidRPr="00E2528D">
        <w:rPr>
          <w:rFonts w:ascii="Verdana" w:hAnsi="Verdana"/>
          <w:szCs w:val="22"/>
        </w:rPr>
        <w:t>Covacevich</w:t>
      </w:r>
      <w:r w:rsidR="00E2528D">
        <w:rPr>
          <w:rFonts w:ascii="Verdana" w:hAnsi="Verdana"/>
          <w:szCs w:val="22"/>
        </w:rPr>
        <w:t>,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Alberto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Cubillos,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Nícolo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Gligo,</w:t>
      </w:r>
      <w:r w:rsidR="002223C5">
        <w:rPr>
          <w:rFonts w:ascii="Verdana" w:hAnsi="Verdana"/>
          <w:szCs w:val="22"/>
        </w:rPr>
        <w:t xml:space="preserve"> </w:t>
      </w:r>
      <w:r w:rsidR="00E2528D" w:rsidRPr="00305126">
        <w:t>Juan</w:t>
      </w:r>
      <w:r w:rsidR="002223C5">
        <w:t xml:space="preserve"> </w:t>
      </w:r>
      <w:r w:rsidR="00E2528D" w:rsidRPr="00305126">
        <w:t>Izquierdo</w:t>
      </w:r>
      <w:r w:rsidR="00E2528D">
        <w:t>,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Julio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Kalazic</w:t>
      </w:r>
      <w:r w:rsidR="00A6005E">
        <w:rPr>
          <w:rFonts w:ascii="Verdana" w:hAnsi="Verdana"/>
          <w:szCs w:val="22"/>
        </w:rPr>
        <w:t>h</w:t>
      </w:r>
      <w:r w:rsidR="00E2528D">
        <w:rPr>
          <w:rFonts w:ascii="Verdana" w:hAnsi="Verdana"/>
          <w:szCs w:val="22"/>
        </w:rPr>
        <w:t>,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Alejandro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Violic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y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Claudio</w:t>
      </w:r>
      <w:r w:rsidR="002223C5">
        <w:rPr>
          <w:rFonts w:ascii="Verdana" w:hAnsi="Verdana"/>
          <w:szCs w:val="22"/>
        </w:rPr>
        <w:t xml:space="preserve"> </w:t>
      </w:r>
      <w:r w:rsidR="00E2528D">
        <w:rPr>
          <w:rFonts w:ascii="Verdana" w:hAnsi="Verdana"/>
          <w:szCs w:val="22"/>
        </w:rPr>
        <w:t>Wernli.</w:t>
      </w:r>
    </w:p>
    <w:p w:rsidR="002430C4" w:rsidRDefault="002430C4" w:rsidP="002430C4">
      <w:pPr>
        <w:pStyle w:val="Textosinformato"/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aprueba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integración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Comisión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Redactora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cuya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coordinación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quedará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cargo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Nícolo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Gligo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quien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deberá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citar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dicha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comisión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para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que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inicie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proceso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preparación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documento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posici</w:t>
      </w:r>
      <w:r w:rsidR="004D690D">
        <w:rPr>
          <w:rFonts w:ascii="Verdana" w:hAnsi="Verdana"/>
          <w:szCs w:val="22"/>
        </w:rPr>
        <w:t>ón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en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referencia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abordando,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primero,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el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mecanismo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desgrabación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y,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segundo,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definición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la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pauta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de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contenido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del</w:t>
      </w:r>
      <w:r w:rsidR="002223C5">
        <w:rPr>
          <w:rFonts w:ascii="Verdana" w:hAnsi="Verdana"/>
          <w:szCs w:val="22"/>
        </w:rPr>
        <w:t xml:space="preserve"> </w:t>
      </w:r>
      <w:r w:rsidR="004D690D">
        <w:rPr>
          <w:rFonts w:ascii="Verdana" w:hAnsi="Verdana"/>
          <w:szCs w:val="22"/>
        </w:rPr>
        <w:t>documento.</w:t>
      </w:r>
    </w:p>
    <w:p w:rsidR="004D690D" w:rsidRPr="0078491D" w:rsidRDefault="004D690D" w:rsidP="00A40702">
      <w:pPr>
        <w:pStyle w:val="Ttulo3"/>
        <w:spacing w:before="0" w:line="240" w:lineRule="auto"/>
        <w:ind w:left="567" w:hanging="567"/>
        <w:rPr>
          <w:sz w:val="24"/>
          <w:szCs w:val="24"/>
        </w:rPr>
      </w:pPr>
      <w:bookmarkStart w:id="10" w:name="_Toc509521994"/>
      <w:r w:rsidRPr="0078491D">
        <w:rPr>
          <w:sz w:val="24"/>
          <w:szCs w:val="24"/>
        </w:rPr>
        <w:t>4.2</w:t>
      </w:r>
      <w:r w:rsidR="002223C5">
        <w:rPr>
          <w:sz w:val="24"/>
          <w:szCs w:val="24"/>
        </w:rPr>
        <w:t xml:space="preserve"> </w:t>
      </w:r>
      <w:r w:rsidR="00A40702">
        <w:rPr>
          <w:sz w:val="24"/>
          <w:szCs w:val="24"/>
        </w:rPr>
        <w:tab/>
      </w:r>
      <w:r w:rsidR="0078491D" w:rsidRPr="0078491D">
        <w:rPr>
          <w:sz w:val="24"/>
          <w:szCs w:val="24"/>
        </w:rPr>
        <w:t>Charla</w:t>
      </w:r>
      <w:r w:rsidR="002223C5">
        <w:rPr>
          <w:sz w:val="24"/>
          <w:szCs w:val="24"/>
        </w:rPr>
        <w:t xml:space="preserve"> </w:t>
      </w:r>
      <w:r w:rsidR="0078491D" w:rsidRPr="0078491D">
        <w:rPr>
          <w:sz w:val="24"/>
          <w:szCs w:val="24"/>
        </w:rPr>
        <w:t>Dr.</w:t>
      </w:r>
      <w:r w:rsidR="002223C5">
        <w:rPr>
          <w:sz w:val="24"/>
          <w:szCs w:val="24"/>
        </w:rPr>
        <w:t xml:space="preserve"> </w:t>
      </w:r>
      <w:r w:rsidR="0078491D" w:rsidRPr="0078491D">
        <w:rPr>
          <w:sz w:val="24"/>
          <w:szCs w:val="24"/>
        </w:rPr>
        <w:t>Miguel</w:t>
      </w:r>
      <w:r w:rsidR="002223C5">
        <w:rPr>
          <w:sz w:val="24"/>
          <w:szCs w:val="24"/>
        </w:rPr>
        <w:t xml:space="preserve"> </w:t>
      </w:r>
      <w:r w:rsidR="0078491D" w:rsidRPr="0078491D">
        <w:rPr>
          <w:sz w:val="24"/>
          <w:szCs w:val="24"/>
        </w:rPr>
        <w:t>Ángel</w:t>
      </w:r>
      <w:r w:rsidR="002223C5">
        <w:rPr>
          <w:sz w:val="24"/>
          <w:szCs w:val="24"/>
        </w:rPr>
        <w:t xml:space="preserve"> </w:t>
      </w:r>
      <w:r w:rsidR="0078491D" w:rsidRPr="0078491D">
        <w:rPr>
          <w:sz w:val="24"/>
          <w:szCs w:val="24"/>
        </w:rPr>
        <w:t>Sánchez</w:t>
      </w:r>
      <w:bookmarkEnd w:id="10"/>
    </w:p>
    <w:p w:rsidR="006366E4" w:rsidRDefault="0078491D" w:rsidP="00A6005E">
      <w:pPr>
        <w:spacing w:after="120" w:line="240" w:lineRule="auto"/>
        <w:rPr>
          <w:rFonts w:ascii="Verdana" w:hAnsi="Verdana"/>
        </w:rPr>
      </w:pPr>
      <w:r>
        <w:rPr>
          <w:rFonts w:ascii="Verdana" w:eastAsia="Calibri" w:hAnsi="Verdana" w:cs="Times New Roman"/>
          <w:lang w:val="es-MX"/>
        </w:rPr>
        <w:t>El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Dr.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Sánchez</w:t>
      </w:r>
      <w:r w:rsidR="006366E4">
        <w:rPr>
          <w:rFonts w:ascii="Verdana" w:eastAsia="Calibri" w:hAnsi="Verdana" w:cs="Times New Roman"/>
          <w:lang w:val="es-MX"/>
        </w:rPr>
        <w:t>,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 w:rsidR="006366E4">
        <w:rPr>
          <w:rFonts w:ascii="Verdana" w:eastAsia="Calibri" w:hAnsi="Verdana" w:cs="Times New Roman"/>
          <w:lang w:val="es-MX"/>
        </w:rPr>
        <w:t>doctor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 w:rsidR="006366E4">
        <w:rPr>
          <w:rFonts w:ascii="Verdana" w:eastAsia="Calibri" w:hAnsi="Verdana" w:cs="Times New Roman"/>
          <w:lang w:val="es-MX"/>
        </w:rPr>
        <w:t>en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 w:rsidR="006366E4">
        <w:rPr>
          <w:rFonts w:ascii="Verdana" w:eastAsia="Calibri" w:hAnsi="Verdana" w:cs="Times New Roman"/>
          <w:lang w:val="es-MX"/>
        </w:rPr>
        <w:t>ciencias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 w:rsidR="006366E4">
        <w:rPr>
          <w:rFonts w:ascii="Verdana" w:eastAsia="Calibri" w:hAnsi="Verdana" w:cs="Times New Roman"/>
          <w:lang w:val="es-MX"/>
        </w:rPr>
        <w:t>biológicas,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ofreció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la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asamblea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de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la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Academia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la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charla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que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tituló</w:t>
      </w:r>
      <w:r w:rsidR="002223C5">
        <w:rPr>
          <w:rFonts w:ascii="Verdana" w:eastAsia="Calibri" w:hAnsi="Verdana" w:cs="Times New Roman"/>
          <w:lang w:val="es-MX"/>
        </w:rPr>
        <w:t xml:space="preserve"> </w:t>
      </w:r>
      <w:r>
        <w:rPr>
          <w:rFonts w:ascii="Verdana" w:eastAsia="Calibri" w:hAnsi="Verdana" w:cs="Times New Roman"/>
          <w:lang w:val="es-MX"/>
        </w:rPr>
        <w:t>“</w:t>
      </w:r>
      <w:r>
        <w:rPr>
          <w:rFonts w:ascii="Verdana" w:hAnsi="Verdana"/>
        </w:rPr>
        <w:t>New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Breeding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Techniques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(NBTs)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="002223C5">
        <w:rPr>
          <w:rFonts w:ascii="Verdana" w:hAnsi="Verdana"/>
        </w:rPr>
        <w:t xml:space="preserve"> </w:t>
      </w:r>
      <w:r w:rsidRPr="0078491D">
        <w:rPr>
          <w:rFonts w:ascii="Verdana" w:hAnsi="Verdana"/>
        </w:rPr>
        <w:t>Más</w:t>
      </w:r>
      <w:r w:rsidR="002223C5">
        <w:rPr>
          <w:rFonts w:ascii="Verdana" w:hAnsi="Verdana"/>
        </w:rPr>
        <w:t xml:space="preserve"> </w:t>
      </w:r>
      <w:r w:rsidRPr="0078491D">
        <w:rPr>
          <w:rFonts w:ascii="Verdana" w:hAnsi="Verdana"/>
        </w:rPr>
        <w:t>allá</w:t>
      </w:r>
      <w:r w:rsidR="002223C5">
        <w:rPr>
          <w:rFonts w:ascii="Verdana" w:hAnsi="Verdana"/>
        </w:rPr>
        <w:t xml:space="preserve"> </w:t>
      </w:r>
      <w:r w:rsidRPr="0078491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Pr="0078491D"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 w:rsidRPr="0078491D">
        <w:rPr>
          <w:rFonts w:ascii="Verdana" w:hAnsi="Verdana"/>
        </w:rPr>
        <w:t>transgenia</w:t>
      </w:r>
      <w:r>
        <w:rPr>
          <w:rFonts w:ascii="Verdana" w:hAnsi="Verdana"/>
        </w:rPr>
        <w:t>”.</w:t>
      </w:r>
      <w:r w:rsidR="002223C5">
        <w:rPr>
          <w:rFonts w:ascii="Verdana" w:hAnsi="Verdana"/>
        </w:rPr>
        <w:t xml:space="preserve"> </w:t>
      </w:r>
    </w:p>
    <w:p w:rsidR="009428E7" w:rsidRDefault="006366E4" w:rsidP="00A6005E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presentación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fue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muy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bien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recibida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por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los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presentes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despertó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un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gran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interés;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no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hubo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tiempo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suficiente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para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que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los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académicos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pudieran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realizar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todos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los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comentarios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consultas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que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dio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lugar.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presentación</w:t>
      </w:r>
      <w:r w:rsidR="002223C5">
        <w:rPr>
          <w:rFonts w:ascii="Verdana" w:hAnsi="Verdana"/>
        </w:rPr>
        <w:t xml:space="preserve"> </w:t>
      </w:r>
      <w:r w:rsidR="00A6005E">
        <w:rPr>
          <w:rFonts w:ascii="Verdana" w:hAnsi="Verdana"/>
        </w:rPr>
        <w:t>estará</w:t>
      </w:r>
      <w:r w:rsidR="002223C5">
        <w:rPr>
          <w:rFonts w:ascii="Verdana" w:hAnsi="Verdana"/>
        </w:rPr>
        <w:t xml:space="preserve"> </w:t>
      </w:r>
      <w:r w:rsidR="00A6005E">
        <w:rPr>
          <w:rFonts w:ascii="Verdana" w:hAnsi="Verdana"/>
        </w:rPr>
        <w:t>próximamente</w:t>
      </w:r>
      <w:r w:rsidR="002223C5">
        <w:rPr>
          <w:rFonts w:ascii="Verdana" w:hAnsi="Verdana"/>
        </w:rPr>
        <w:t xml:space="preserve"> </w:t>
      </w:r>
      <w:r w:rsidR="00A6005E">
        <w:rPr>
          <w:rFonts w:ascii="Verdana" w:hAnsi="Verdana"/>
        </w:rPr>
        <w:t>disponible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sitio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internet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Academia.</w:t>
      </w:r>
      <w:r w:rsidR="002223C5">
        <w:rPr>
          <w:rFonts w:ascii="Verdana" w:hAnsi="Verdana"/>
        </w:rPr>
        <w:t xml:space="preserve"> </w:t>
      </w:r>
    </w:p>
    <w:p w:rsidR="0078491D" w:rsidRDefault="006366E4" w:rsidP="00A6005E">
      <w:pPr>
        <w:spacing w:after="12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1" w:name="_Toc509480574"/>
      <w:r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siguiente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es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una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síntesis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presentación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preparada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por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Dr.</w:t>
      </w:r>
      <w:r w:rsidR="002223C5">
        <w:rPr>
          <w:rFonts w:ascii="Verdana" w:hAnsi="Verdana"/>
        </w:rPr>
        <w:t xml:space="preserve"> </w:t>
      </w:r>
      <w:r>
        <w:rPr>
          <w:rFonts w:ascii="Verdana" w:hAnsi="Verdana"/>
        </w:rPr>
        <w:t>Sánchez.</w:t>
      </w:r>
    </w:p>
    <w:bookmarkEnd w:id="11"/>
    <w:p w:rsidR="0078491D" w:rsidRDefault="00A6005E" w:rsidP="00A6005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“</w:t>
      </w:r>
      <w:r w:rsidRPr="00A6005E">
        <w:rPr>
          <w:rFonts w:ascii="Verdana" w:hAnsi="Verdana"/>
        </w:rPr>
        <w:t>U</w:t>
      </w:r>
      <w:r w:rsidR="0078491D" w:rsidRPr="00A6005E">
        <w:rPr>
          <w:rFonts w:ascii="Verdana" w:hAnsi="Verdana"/>
        </w:rPr>
        <w:t>na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principales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herramientas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biotecnológicas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para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realizar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mejoramiento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genético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vegetal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sido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transgenia.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Ésta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regulada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distintos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países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bajo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concepto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Organismo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Genéticamente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Modificado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(OGM).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último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tiempo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han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desarrollado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nuevas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técnicas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biotecnológicas,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cuales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han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creado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nuevos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retos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para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reguladores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uso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definición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OGM.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aplicación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estas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nuevas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técnicas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puede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considerar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ediciones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y/o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silenciamiento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genes.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caso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varias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estas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técnicas,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plantas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resultantes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son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libres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genes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foráneos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y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otras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ocasiones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cultivos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desarrollados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no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pueden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distinguir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sus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homólogos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obtenidos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con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técnicas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convencionales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mejoramiento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genético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(mutagénesis,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cruzamientos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dirigidos,</w:t>
      </w:r>
      <w:r w:rsidR="002223C5">
        <w:rPr>
          <w:rFonts w:ascii="Verdana" w:hAnsi="Verdana"/>
        </w:rPr>
        <w:t xml:space="preserve"> </w:t>
      </w:r>
      <w:r w:rsidR="006807CD" w:rsidRPr="00A6005E">
        <w:rPr>
          <w:rFonts w:ascii="Verdana" w:hAnsi="Verdana"/>
        </w:rPr>
        <w:t>etc.</w:t>
      </w:r>
      <w:r w:rsidR="0078491D" w:rsidRPr="00A6005E">
        <w:rPr>
          <w:rFonts w:ascii="Verdana" w:hAnsi="Verdana"/>
        </w:rPr>
        <w:t>).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esta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manera,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nivel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global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debate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si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estos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productos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deberían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quedar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exentos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no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las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regulaciones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sobre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OGM,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desafiando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lo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que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se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entiende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por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modificación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genética.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Chile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innovado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y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ha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fijado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posición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frente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al</w:t>
      </w:r>
      <w:r w:rsidR="002223C5">
        <w:rPr>
          <w:rFonts w:ascii="Verdana" w:hAnsi="Verdana"/>
        </w:rPr>
        <w:t xml:space="preserve"> </w:t>
      </w:r>
      <w:r w:rsidR="0078491D" w:rsidRPr="00A6005E">
        <w:rPr>
          <w:rFonts w:ascii="Verdana" w:hAnsi="Verdana"/>
        </w:rPr>
        <w:t>tema.</w:t>
      </w:r>
      <w:r>
        <w:rPr>
          <w:rFonts w:ascii="Verdana" w:hAnsi="Verdana"/>
        </w:rPr>
        <w:t>”</w:t>
      </w:r>
    </w:p>
    <w:p w:rsidR="00A6005E" w:rsidRDefault="00A6005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A6005E" w:rsidRPr="001A265D" w:rsidRDefault="00A6005E" w:rsidP="00A6005E">
      <w:pPr>
        <w:pStyle w:val="Ttulo1"/>
        <w:spacing w:before="240" w:after="120" w:line="240" w:lineRule="auto"/>
      </w:pPr>
      <w:bookmarkStart w:id="12" w:name="_Toc509521995"/>
      <w:r>
        <w:t>ANEXO</w:t>
      </w:r>
      <w:r w:rsidR="002223C5">
        <w:t xml:space="preserve"> </w:t>
      </w:r>
      <w:r>
        <w:t>1:</w:t>
      </w:r>
      <w:r w:rsidR="002223C5">
        <w:t xml:space="preserve"> </w:t>
      </w:r>
      <w:r w:rsidR="00FF06BC">
        <w:t>INFORME</w:t>
      </w:r>
      <w:r w:rsidR="002223C5">
        <w:t xml:space="preserve"> </w:t>
      </w:r>
      <w:r>
        <w:t>FINANCIERO</w:t>
      </w:r>
      <w:r w:rsidR="002223C5">
        <w:t xml:space="preserve"> </w:t>
      </w:r>
      <w:r>
        <w:t>AL</w:t>
      </w:r>
      <w:r w:rsidR="002223C5">
        <w:t xml:space="preserve"> </w:t>
      </w:r>
      <w:r>
        <w:t>15</w:t>
      </w:r>
      <w:r w:rsidR="002223C5">
        <w:t xml:space="preserve"> </w:t>
      </w:r>
      <w:r>
        <w:t>DE</w:t>
      </w:r>
      <w:r w:rsidR="002223C5">
        <w:t xml:space="preserve"> </w:t>
      </w:r>
      <w:r>
        <w:t>MARZO,</w:t>
      </w:r>
      <w:r w:rsidR="002223C5">
        <w:t xml:space="preserve"> </w:t>
      </w:r>
      <w:r>
        <w:t>2018</w:t>
      </w:r>
      <w:bookmarkEnd w:id="12"/>
    </w:p>
    <w:p w:rsidR="00B84765" w:rsidRPr="004D7B43" w:rsidRDefault="002223C5" w:rsidP="00B84765">
      <w:r>
        <w:t xml:space="preserve"> </w:t>
      </w:r>
      <w:r w:rsidR="00B84765">
        <w:t>(En</w:t>
      </w:r>
      <w:r>
        <w:t xml:space="preserve"> </w:t>
      </w:r>
      <w:r w:rsidR="00B84765">
        <w:t>pesos)</w:t>
      </w:r>
    </w:p>
    <w:p w:rsidR="00B84765" w:rsidRDefault="00B84765" w:rsidP="00B84765">
      <w:pPr>
        <w:spacing w:after="0"/>
        <w:rPr>
          <w:b/>
          <w:u w:val="single"/>
        </w:rPr>
      </w:pPr>
      <w:r w:rsidRPr="004D7B43">
        <w:rPr>
          <w:b/>
          <w:u w:val="single"/>
        </w:rPr>
        <w:t>Gastos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seminario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Magallanes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y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pen</w:t>
      </w:r>
      <w:r>
        <w:rPr>
          <w:b/>
          <w:u w:val="single"/>
        </w:rPr>
        <w:t>d</w:t>
      </w:r>
      <w:r w:rsidRPr="004D7B43">
        <w:rPr>
          <w:b/>
          <w:u w:val="single"/>
        </w:rPr>
        <w:t>ientes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al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15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de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marzo</w:t>
      </w:r>
    </w:p>
    <w:p w:rsidR="00B84765" w:rsidRPr="004D7B43" w:rsidRDefault="00B84765" w:rsidP="00B84765">
      <w:pPr>
        <w:spacing w:after="0"/>
        <w:rPr>
          <w:b/>
          <w:u w:val="single"/>
        </w:rPr>
      </w:pPr>
    </w:p>
    <w:tbl>
      <w:tblPr>
        <w:tblW w:w="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200"/>
        <w:gridCol w:w="1200"/>
      </w:tblGrid>
      <w:tr w:rsidR="00B84765" w:rsidRPr="004D7B43" w:rsidTr="003961D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Saldo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dic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239.242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Gastos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seminario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Coctel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536.280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Hotel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Gabriel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151.150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Boletas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varias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G.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52.130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739.560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Saldo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-03-18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238.898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Pendientes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Gloria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210.622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Aviso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Mercurio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37.011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Estadio</w:t>
            </w:r>
            <w:r w:rsidR="002223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Croata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9.130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256.763</w:t>
            </w: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765" w:rsidRPr="004D7B43" w:rsidTr="003961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Saldo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2223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-03-18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7B43">
              <w:rPr>
                <w:rFonts w:ascii="Calibri" w:eastAsia="Times New Roman" w:hAnsi="Calibri" w:cs="Times New Roman"/>
                <w:b/>
                <w:bCs/>
                <w:color w:val="000000"/>
              </w:rPr>
              <w:t>-17.865</w:t>
            </w:r>
          </w:p>
        </w:tc>
      </w:tr>
    </w:tbl>
    <w:p w:rsidR="00B84765" w:rsidRDefault="00B84765" w:rsidP="00B84765"/>
    <w:p w:rsidR="00B84765" w:rsidRDefault="00B84765" w:rsidP="00B8476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84765" w:rsidRPr="004D7B43" w:rsidRDefault="00B84765" w:rsidP="00B84765">
      <w:pPr>
        <w:rPr>
          <w:b/>
          <w:u w:val="single"/>
        </w:rPr>
      </w:pPr>
      <w:r w:rsidRPr="004D7B43">
        <w:rPr>
          <w:b/>
          <w:u w:val="single"/>
        </w:rPr>
        <w:t>Balances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mensuales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enero-marzo</w:t>
      </w:r>
      <w:r w:rsidR="002223C5">
        <w:rPr>
          <w:b/>
          <w:u w:val="single"/>
        </w:rPr>
        <w:t xml:space="preserve"> </w:t>
      </w:r>
      <w:r w:rsidRPr="004D7B43">
        <w:rPr>
          <w:b/>
          <w:u w:val="single"/>
        </w:rPr>
        <w:t>2018</w:t>
      </w:r>
    </w:p>
    <w:tbl>
      <w:tblPr>
        <w:tblW w:w="7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194"/>
        <w:gridCol w:w="1194"/>
        <w:gridCol w:w="1194"/>
      </w:tblGrid>
      <w:tr w:rsidR="00B84765" w:rsidRPr="004D7B43" w:rsidTr="003961D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Real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Real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ene-18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feb-18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mar-18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A)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INGRESOS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OPERACIONALES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84765" w:rsidRPr="004D7B43" w:rsidTr="003961D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Saldo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al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final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del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mes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$239.242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$355.798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$395.498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2.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Cuotas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$175.000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3.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Diplomas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Medallas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4,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Otros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ingresos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(Cena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3-12-2016)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2223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5.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Otros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ingresos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(dev.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esde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Cta.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Cte.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223C5"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Bco.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223C5"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Estado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TOTAL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$414.242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$405.798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$395.498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B)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EGRESOS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OPERACIONALES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Reunión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Directorio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2.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Reunión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Asamblea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Reunión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Comisión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Seminario/2016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3.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223C5"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Arriendo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Sala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Reunión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4.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223C5"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Estímulos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y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Premios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Asociados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5.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Publicación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y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Difusión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7.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Honorarios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y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Asesorías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$140.400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8.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Comisión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cobranza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cuotas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9.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$600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10.Gastos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menores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(Fotocopias-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archivador-resma)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11.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Página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Web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Hosting-Dominio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12,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pago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223C5"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Imp.S.I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  <w:r w:rsidR="002223C5"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$23.444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$15.600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13,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menores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14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astos Semi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rio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15,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Gastos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002223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sz w:val="18"/>
                <w:szCs w:val="18"/>
              </w:rPr>
              <w:t>rendir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2223C5" w:rsidP="00396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sz w:val="18"/>
                <w:szCs w:val="18"/>
              </w:rPr>
              <w:t>$0</w:t>
            </w:r>
          </w:p>
        </w:tc>
      </w:tr>
      <w:tr w:rsidR="00B84765" w:rsidRPr="004D7B43" w:rsidTr="003961DC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TOTAL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EGRESOS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OPERACIONALES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$58.444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$10.300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$156.600</w:t>
            </w:r>
          </w:p>
        </w:tc>
      </w:tr>
      <w:tr w:rsidR="00B84765" w:rsidRPr="004D7B43" w:rsidTr="003961D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Saldo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al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="002223C5"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final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del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corriente</w:t>
            </w:r>
            <w:r w:rsidR="002223C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D7B4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$355.798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$395.498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4765" w:rsidRPr="004D7B43" w:rsidRDefault="00B84765" w:rsidP="00396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7B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$238.898</w:t>
            </w:r>
          </w:p>
        </w:tc>
      </w:tr>
    </w:tbl>
    <w:p w:rsidR="00B84765" w:rsidRPr="004D7B43" w:rsidRDefault="00B84765" w:rsidP="00B84765">
      <w:pPr>
        <w:pStyle w:val="Textosinformato"/>
        <w:spacing w:after="120"/>
        <w:rPr>
          <w:rFonts w:ascii="Verdana" w:hAnsi="Verdana"/>
          <w:szCs w:val="22"/>
          <w:lang w:val="es-ES"/>
        </w:rPr>
      </w:pPr>
    </w:p>
    <w:p w:rsidR="00D04556" w:rsidRPr="00176363" w:rsidRDefault="00D04556" w:rsidP="00176363">
      <w:pPr>
        <w:pStyle w:val="Textosinformato"/>
        <w:spacing w:after="120"/>
        <w:rPr>
          <w:rFonts w:ascii="Verdana" w:hAnsi="Verdana"/>
          <w:szCs w:val="22"/>
        </w:rPr>
      </w:pPr>
    </w:p>
    <w:sectPr w:rsidR="00D04556" w:rsidRPr="00176363" w:rsidSect="004E7D45">
      <w:headerReference w:type="default" r:id="rId10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1E" w:rsidRDefault="003F3C1E" w:rsidP="00C801F9">
      <w:pPr>
        <w:spacing w:after="0" w:line="240" w:lineRule="auto"/>
      </w:pPr>
      <w:r>
        <w:separator/>
      </w:r>
    </w:p>
  </w:endnote>
  <w:endnote w:type="continuationSeparator" w:id="0">
    <w:p w:rsidR="003F3C1E" w:rsidRDefault="003F3C1E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1E" w:rsidRDefault="003F3C1E" w:rsidP="00C801F9">
      <w:pPr>
        <w:spacing w:after="0" w:line="240" w:lineRule="auto"/>
      </w:pPr>
      <w:r>
        <w:separator/>
      </w:r>
    </w:p>
  </w:footnote>
  <w:footnote w:type="continuationSeparator" w:id="0">
    <w:p w:rsidR="003F3C1E" w:rsidRDefault="003F3C1E" w:rsidP="00C801F9">
      <w:pPr>
        <w:spacing w:after="0" w:line="240" w:lineRule="auto"/>
      </w:pPr>
      <w:r>
        <w:continuationSeparator/>
      </w:r>
    </w:p>
  </w:footnote>
  <w:footnote w:id="1">
    <w:p w:rsidR="00F44ABC" w:rsidRPr="00C62A9A" w:rsidRDefault="00F44ABC" w:rsidP="00C62A9A">
      <w:pPr>
        <w:pStyle w:val="Textonotapie"/>
        <w:rPr>
          <w:rFonts w:ascii="Verdana" w:hAnsi="Verdana"/>
          <w:sz w:val="18"/>
          <w:szCs w:val="18"/>
          <w:lang w:val="es-CL"/>
        </w:rPr>
      </w:pPr>
      <w:r w:rsidRPr="00C62A9A">
        <w:rPr>
          <w:rStyle w:val="Refdenotaalpie"/>
          <w:rFonts w:ascii="Verdana" w:hAnsi="Verdana"/>
          <w:sz w:val="18"/>
          <w:szCs w:val="18"/>
        </w:rPr>
        <w:footnoteRef/>
      </w:r>
      <w:r w:rsidR="002223C5">
        <w:rPr>
          <w:rFonts w:ascii="Verdana" w:hAnsi="Verdana"/>
          <w:sz w:val="18"/>
          <w:szCs w:val="18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La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expresión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desgrabar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no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está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aún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reconocida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por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el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diccionario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la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RAE</w:t>
      </w:r>
      <w:r>
        <w:rPr>
          <w:rFonts w:ascii="Verdana" w:hAnsi="Verdana"/>
          <w:sz w:val="18"/>
          <w:szCs w:val="18"/>
          <w:lang w:val="es-CL"/>
        </w:rPr>
        <w:t>.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>
        <w:rPr>
          <w:rFonts w:ascii="Verdana" w:hAnsi="Verdana"/>
          <w:sz w:val="18"/>
          <w:szCs w:val="18"/>
          <w:lang w:val="es-CL"/>
        </w:rPr>
        <w:t>H</w:t>
      </w:r>
      <w:r w:rsidRPr="00C62A9A">
        <w:rPr>
          <w:rFonts w:ascii="Verdana" w:hAnsi="Verdana"/>
          <w:sz w:val="18"/>
          <w:szCs w:val="18"/>
          <w:lang w:val="es-CL"/>
        </w:rPr>
        <w:t>ay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un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cierto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debate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al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respecto;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algunos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defiende</w:t>
      </w:r>
      <w:r>
        <w:rPr>
          <w:rFonts w:ascii="Verdana" w:hAnsi="Verdana"/>
          <w:sz w:val="18"/>
          <w:szCs w:val="18"/>
          <w:lang w:val="es-CL"/>
        </w:rPr>
        <w:t>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su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uso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mientras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otros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sostienen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que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hay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que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utilizar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“transcribir”.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Sin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embargo,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considerando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que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la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expresión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tiene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un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claro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significado,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que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utiliza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ampliamente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los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medios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académicos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algunos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países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Sudamérica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y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que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se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ha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estado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utilizando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el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ámbito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la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ACHCA,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pareció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apropiado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>
        <w:rPr>
          <w:rFonts w:ascii="Verdana" w:hAnsi="Verdana"/>
          <w:sz w:val="18"/>
          <w:szCs w:val="18"/>
          <w:lang w:val="es-CL"/>
        </w:rPr>
        <w:t>conserv</w:t>
      </w:r>
      <w:r w:rsidRPr="00C62A9A">
        <w:rPr>
          <w:rFonts w:ascii="Verdana" w:hAnsi="Verdana"/>
          <w:sz w:val="18"/>
          <w:szCs w:val="18"/>
          <w:lang w:val="es-CL"/>
        </w:rPr>
        <w:t>arla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en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este</w:t>
      </w:r>
      <w:r w:rsidR="002223C5">
        <w:rPr>
          <w:rFonts w:ascii="Verdana" w:hAnsi="Verdana"/>
          <w:sz w:val="18"/>
          <w:szCs w:val="18"/>
          <w:lang w:val="es-CL"/>
        </w:rPr>
        <w:t xml:space="preserve"> </w:t>
      </w:r>
      <w:r w:rsidRPr="00C62A9A">
        <w:rPr>
          <w:rFonts w:ascii="Verdana" w:hAnsi="Verdana"/>
          <w:sz w:val="18"/>
          <w:szCs w:val="18"/>
          <w:lang w:val="es-CL"/>
        </w:rPr>
        <w:t>documento.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98321"/>
      <w:docPartObj>
        <w:docPartGallery w:val="Page Numbers (Top of Page)"/>
        <w:docPartUnique/>
      </w:docPartObj>
    </w:sdtPr>
    <w:sdtEndPr/>
    <w:sdtContent>
      <w:p w:rsidR="00F44ABC" w:rsidRDefault="00F44AB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AF">
          <w:rPr>
            <w:noProof/>
          </w:rPr>
          <w:t>1</w:t>
        </w:r>
        <w:r>
          <w:fldChar w:fldCharType="end"/>
        </w:r>
      </w:p>
    </w:sdtContent>
  </w:sdt>
  <w:p w:rsidR="00F44ABC" w:rsidRDefault="00F44AB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A01"/>
    <w:multiLevelType w:val="multilevel"/>
    <w:tmpl w:val="9E603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4BF3A32"/>
    <w:multiLevelType w:val="hybridMultilevel"/>
    <w:tmpl w:val="866E8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33F9F"/>
    <w:multiLevelType w:val="hybridMultilevel"/>
    <w:tmpl w:val="495CA7C8"/>
    <w:lvl w:ilvl="0" w:tplc="826CE38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5D85"/>
    <w:multiLevelType w:val="hybridMultilevel"/>
    <w:tmpl w:val="157EFB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6310E"/>
    <w:multiLevelType w:val="hybridMultilevel"/>
    <w:tmpl w:val="0684653A"/>
    <w:lvl w:ilvl="0" w:tplc="C57E09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4516B74"/>
    <w:multiLevelType w:val="hybridMultilevel"/>
    <w:tmpl w:val="913658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B7844"/>
    <w:multiLevelType w:val="hybridMultilevel"/>
    <w:tmpl w:val="03481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E634F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F4A5E45"/>
    <w:multiLevelType w:val="hybridMultilevel"/>
    <w:tmpl w:val="A2E84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854C4"/>
    <w:multiLevelType w:val="multilevel"/>
    <w:tmpl w:val="AF84F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>
    <w:nsid w:val="302000E7"/>
    <w:multiLevelType w:val="hybridMultilevel"/>
    <w:tmpl w:val="78C20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903B3"/>
    <w:multiLevelType w:val="multilevel"/>
    <w:tmpl w:val="4B486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3B9339B9"/>
    <w:multiLevelType w:val="hybridMultilevel"/>
    <w:tmpl w:val="99EA130A"/>
    <w:lvl w:ilvl="0" w:tplc="2E6AD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D6939"/>
    <w:multiLevelType w:val="hybridMultilevel"/>
    <w:tmpl w:val="10887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B16E2"/>
    <w:multiLevelType w:val="multilevel"/>
    <w:tmpl w:val="FD565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4BD02C10"/>
    <w:multiLevelType w:val="multilevel"/>
    <w:tmpl w:val="B2BED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794C23"/>
    <w:multiLevelType w:val="multilevel"/>
    <w:tmpl w:val="367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C11F9"/>
    <w:multiLevelType w:val="hybridMultilevel"/>
    <w:tmpl w:val="79BA7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662AC"/>
    <w:multiLevelType w:val="hybridMultilevel"/>
    <w:tmpl w:val="3EBA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E5B42"/>
    <w:multiLevelType w:val="hybridMultilevel"/>
    <w:tmpl w:val="66AAE1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F51E5"/>
    <w:multiLevelType w:val="hybridMultilevel"/>
    <w:tmpl w:val="02B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479C6"/>
    <w:multiLevelType w:val="hybridMultilevel"/>
    <w:tmpl w:val="CD46A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13A90"/>
    <w:multiLevelType w:val="hybridMultilevel"/>
    <w:tmpl w:val="442C9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93ABA"/>
    <w:multiLevelType w:val="hybridMultilevel"/>
    <w:tmpl w:val="203E6BB8"/>
    <w:lvl w:ilvl="0" w:tplc="936898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3D7061"/>
    <w:multiLevelType w:val="hybridMultilevel"/>
    <w:tmpl w:val="1144C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87A8C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28"/>
  </w:num>
  <w:num w:numId="8">
    <w:abstractNumId w:val="4"/>
  </w:num>
  <w:num w:numId="9">
    <w:abstractNumId w:val="24"/>
  </w:num>
  <w:num w:numId="10">
    <w:abstractNumId w:val="13"/>
  </w:num>
  <w:num w:numId="11">
    <w:abstractNumId w:val="19"/>
  </w:num>
  <w:num w:numId="12">
    <w:abstractNumId w:val="30"/>
  </w:num>
  <w:num w:numId="13">
    <w:abstractNumId w:val="7"/>
  </w:num>
  <w:num w:numId="14">
    <w:abstractNumId w:val="26"/>
  </w:num>
  <w:num w:numId="15">
    <w:abstractNumId w:val="29"/>
  </w:num>
  <w:num w:numId="16">
    <w:abstractNumId w:val="1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5"/>
  </w:num>
  <w:num w:numId="20">
    <w:abstractNumId w:val="18"/>
  </w:num>
  <w:num w:numId="21">
    <w:abstractNumId w:val="33"/>
  </w:num>
  <w:num w:numId="22">
    <w:abstractNumId w:val="1"/>
  </w:num>
  <w:num w:numId="23">
    <w:abstractNumId w:val="32"/>
  </w:num>
  <w:num w:numId="24">
    <w:abstractNumId w:val="14"/>
  </w:num>
  <w:num w:numId="25">
    <w:abstractNumId w:val="8"/>
  </w:num>
  <w:num w:numId="26">
    <w:abstractNumId w:val="27"/>
  </w:num>
  <w:num w:numId="27">
    <w:abstractNumId w:val="12"/>
  </w:num>
  <w:num w:numId="28">
    <w:abstractNumId w:val="17"/>
  </w:num>
  <w:num w:numId="29">
    <w:abstractNumId w:val="0"/>
  </w:num>
  <w:num w:numId="30">
    <w:abstractNumId w:val="3"/>
  </w:num>
  <w:num w:numId="31">
    <w:abstractNumId w:val="5"/>
  </w:num>
  <w:num w:numId="32">
    <w:abstractNumId w:val="20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0561B"/>
    <w:rsid w:val="0001094E"/>
    <w:rsid w:val="00034EF5"/>
    <w:rsid w:val="000350F5"/>
    <w:rsid w:val="00042A1B"/>
    <w:rsid w:val="00046A1C"/>
    <w:rsid w:val="00064A17"/>
    <w:rsid w:val="00064E88"/>
    <w:rsid w:val="0008299E"/>
    <w:rsid w:val="000A418B"/>
    <w:rsid w:val="000B01EF"/>
    <w:rsid w:val="000B465B"/>
    <w:rsid w:val="000D4CA5"/>
    <w:rsid w:val="000D520C"/>
    <w:rsid w:val="000F2A3C"/>
    <w:rsid w:val="000F44A0"/>
    <w:rsid w:val="001212EC"/>
    <w:rsid w:val="00124B47"/>
    <w:rsid w:val="00132C53"/>
    <w:rsid w:val="00154A03"/>
    <w:rsid w:val="00176363"/>
    <w:rsid w:val="001A4B71"/>
    <w:rsid w:val="001A6734"/>
    <w:rsid w:val="001B0E78"/>
    <w:rsid w:val="001D3A4C"/>
    <w:rsid w:val="001D4B4F"/>
    <w:rsid w:val="001E75F5"/>
    <w:rsid w:val="002223C5"/>
    <w:rsid w:val="002430C4"/>
    <w:rsid w:val="0025493A"/>
    <w:rsid w:val="00260E28"/>
    <w:rsid w:val="002658F3"/>
    <w:rsid w:val="00265CEE"/>
    <w:rsid w:val="00271350"/>
    <w:rsid w:val="002758EB"/>
    <w:rsid w:val="00277DA5"/>
    <w:rsid w:val="00283146"/>
    <w:rsid w:val="002A27B8"/>
    <w:rsid w:val="002A5BD7"/>
    <w:rsid w:val="002E5591"/>
    <w:rsid w:val="002F097B"/>
    <w:rsid w:val="002F131C"/>
    <w:rsid w:val="002F307F"/>
    <w:rsid w:val="00314B7B"/>
    <w:rsid w:val="00316FFB"/>
    <w:rsid w:val="00347FBA"/>
    <w:rsid w:val="00360CCE"/>
    <w:rsid w:val="003650E6"/>
    <w:rsid w:val="003675CC"/>
    <w:rsid w:val="00376876"/>
    <w:rsid w:val="00380E98"/>
    <w:rsid w:val="00385BD3"/>
    <w:rsid w:val="00385E7B"/>
    <w:rsid w:val="003909E5"/>
    <w:rsid w:val="003A1DC2"/>
    <w:rsid w:val="003C1C70"/>
    <w:rsid w:val="003D3767"/>
    <w:rsid w:val="003F3C1E"/>
    <w:rsid w:val="003F56DC"/>
    <w:rsid w:val="00404545"/>
    <w:rsid w:val="00405962"/>
    <w:rsid w:val="00425986"/>
    <w:rsid w:val="00446B14"/>
    <w:rsid w:val="00447DC2"/>
    <w:rsid w:val="00465D26"/>
    <w:rsid w:val="0047441F"/>
    <w:rsid w:val="00474690"/>
    <w:rsid w:val="004926C3"/>
    <w:rsid w:val="0049340B"/>
    <w:rsid w:val="004A1EBF"/>
    <w:rsid w:val="004D690D"/>
    <w:rsid w:val="004E7D45"/>
    <w:rsid w:val="00515908"/>
    <w:rsid w:val="00543C84"/>
    <w:rsid w:val="00557FCE"/>
    <w:rsid w:val="005607C2"/>
    <w:rsid w:val="00580625"/>
    <w:rsid w:val="0058632C"/>
    <w:rsid w:val="00586B8F"/>
    <w:rsid w:val="0059209B"/>
    <w:rsid w:val="005A70DC"/>
    <w:rsid w:val="005B6735"/>
    <w:rsid w:val="005B7D2C"/>
    <w:rsid w:val="005E62A9"/>
    <w:rsid w:val="006120C8"/>
    <w:rsid w:val="006366E4"/>
    <w:rsid w:val="00640D7B"/>
    <w:rsid w:val="00647E37"/>
    <w:rsid w:val="00652C80"/>
    <w:rsid w:val="00674D34"/>
    <w:rsid w:val="006807CD"/>
    <w:rsid w:val="006824C3"/>
    <w:rsid w:val="0069528B"/>
    <w:rsid w:val="00697665"/>
    <w:rsid w:val="006A3280"/>
    <w:rsid w:val="006A6471"/>
    <w:rsid w:val="006D446F"/>
    <w:rsid w:val="006E0B43"/>
    <w:rsid w:val="006E6F0F"/>
    <w:rsid w:val="006F6F63"/>
    <w:rsid w:val="00702DE8"/>
    <w:rsid w:val="00707A37"/>
    <w:rsid w:val="00715BD9"/>
    <w:rsid w:val="00757930"/>
    <w:rsid w:val="00766891"/>
    <w:rsid w:val="0078491D"/>
    <w:rsid w:val="007862DE"/>
    <w:rsid w:val="00796A82"/>
    <w:rsid w:val="007C52ED"/>
    <w:rsid w:val="007D2B89"/>
    <w:rsid w:val="00816D8A"/>
    <w:rsid w:val="00842B4C"/>
    <w:rsid w:val="00856CF6"/>
    <w:rsid w:val="0087273B"/>
    <w:rsid w:val="008A3104"/>
    <w:rsid w:val="008C1A54"/>
    <w:rsid w:val="00917A5D"/>
    <w:rsid w:val="00921503"/>
    <w:rsid w:val="009428E7"/>
    <w:rsid w:val="0097726D"/>
    <w:rsid w:val="0099731B"/>
    <w:rsid w:val="009A2377"/>
    <w:rsid w:val="009B021F"/>
    <w:rsid w:val="009D74EE"/>
    <w:rsid w:val="009E5F12"/>
    <w:rsid w:val="009E6553"/>
    <w:rsid w:val="009F08BA"/>
    <w:rsid w:val="00A02F3C"/>
    <w:rsid w:val="00A04B1F"/>
    <w:rsid w:val="00A1415B"/>
    <w:rsid w:val="00A1464D"/>
    <w:rsid w:val="00A40702"/>
    <w:rsid w:val="00A43093"/>
    <w:rsid w:val="00A54E5F"/>
    <w:rsid w:val="00A57CA9"/>
    <w:rsid w:val="00A6005E"/>
    <w:rsid w:val="00A60228"/>
    <w:rsid w:val="00A7238C"/>
    <w:rsid w:val="00A9111D"/>
    <w:rsid w:val="00A95500"/>
    <w:rsid w:val="00AB201C"/>
    <w:rsid w:val="00AC3FCC"/>
    <w:rsid w:val="00B21982"/>
    <w:rsid w:val="00B25C91"/>
    <w:rsid w:val="00B31C90"/>
    <w:rsid w:val="00B36AC4"/>
    <w:rsid w:val="00B82541"/>
    <w:rsid w:val="00B84765"/>
    <w:rsid w:val="00BA6203"/>
    <w:rsid w:val="00BC499D"/>
    <w:rsid w:val="00BD18DB"/>
    <w:rsid w:val="00BD50F0"/>
    <w:rsid w:val="00C15B1C"/>
    <w:rsid w:val="00C62A9A"/>
    <w:rsid w:val="00C67880"/>
    <w:rsid w:val="00C801F9"/>
    <w:rsid w:val="00C916AA"/>
    <w:rsid w:val="00C91ADF"/>
    <w:rsid w:val="00CB4D37"/>
    <w:rsid w:val="00CC41F4"/>
    <w:rsid w:val="00CE32A5"/>
    <w:rsid w:val="00D04556"/>
    <w:rsid w:val="00D348AF"/>
    <w:rsid w:val="00D630BA"/>
    <w:rsid w:val="00D71099"/>
    <w:rsid w:val="00D80171"/>
    <w:rsid w:val="00D87E41"/>
    <w:rsid w:val="00D937A5"/>
    <w:rsid w:val="00D960CE"/>
    <w:rsid w:val="00DD5438"/>
    <w:rsid w:val="00E2528D"/>
    <w:rsid w:val="00E27E78"/>
    <w:rsid w:val="00E30547"/>
    <w:rsid w:val="00E6381F"/>
    <w:rsid w:val="00EF4459"/>
    <w:rsid w:val="00F11705"/>
    <w:rsid w:val="00F11A56"/>
    <w:rsid w:val="00F15EA2"/>
    <w:rsid w:val="00F404BD"/>
    <w:rsid w:val="00F44ABC"/>
    <w:rsid w:val="00F51BC2"/>
    <w:rsid w:val="00F61E8B"/>
    <w:rsid w:val="00F747B4"/>
    <w:rsid w:val="00F76B5A"/>
    <w:rsid w:val="00FB147E"/>
    <w:rsid w:val="00FB5936"/>
    <w:rsid w:val="00FC7877"/>
    <w:rsid w:val="00FD281C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E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E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85F5-2531-EE40-88E2-90BDEF2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1504</Words>
  <Characters>8274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Juan Izquierdo</cp:lastModifiedBy>
  <cp:revision>2</cp:revision>
  <cp:lastPrinted>2015-04-14T13:10:00Z</cp:lastPrinted>
  <dcterms:created xsi:type="dcterms:W3CDTF">2018-04-04T13:45:00Z</dcterms:created>
  <dcterms:modified xsi:type="dcterms:W3CDTF">2018-04-04T13:45:00Z</dcterms:modified>
</cp:coreProperties>
</file>